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2024年度</w:t>
      </w:r>
    </w:p>
    <w:p>
      <w:pPr>
        <w:pStyle w:val="14"/>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民兵训练基地管理中心</w:t>
      </w:r>
      <w:r>
        <w:rPr>
          <w:rFonts w:ascii="Times New Roman" w:hAnsi="Times New Roman" w:eastAsia="方正小标宋简体" w:cs="Times New Roman"/>
          <w:sz w:val="44"/>
          <w:szCs w:val="44"/>
        </w:rPr>
        <w:t>部门决算</w:t>
      </w:r>
    </w:p>
    <w:p>
      <w:pPr>
        <w:pStyle w:val="14"/>
        <w:jc w:val="center"/>
        <w:rPr>
          <w:rFonts w:ascii="Times New Roman" w:hAnsi="Times New Roman" w:eastAsia="方正小标宋_GBK" w:cs="Times New Roman"/>
          <w:sz w:val="56"/>
          <w:szCs w:val="56"/>
        </w:rPr>
      </w:pPr>
    </w:p>
    <w:p>
      <w:pPr>
        <w:pStyle w:val="14"/>
        <w:jc w:val="center"/>
        <w:rPr>
          <w:rFonts w:ascii="Times New Roman" w:hAnsi="Times New Roman" w:cs="Times New Roman"/>
          <w:sz w:val="56"/>
          <w:szCs w:val="56"/>
        </w:rPr>
      </w:pPr>
    </w:p>
    <w:p>
      <w:pPr>
        <w:pStyle w:val="14"/>
        <w:rPr>
          <w:rFonts w:ascii="Times New Roman" w:hAnsi="Times New Roman" w:cs="Times New Roman"/>
          <w:sz w:val="56"/>
          <w:szCs w:val="56"/>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民兵训练基地管理中心</w:t>
      </w:r>
      <w:r>
        <w:rPr>
          <w:rFonts w:ascii="Times New Roman" w:hAnsi="Times New Roman" w:cs="Times New Roman"/>
          <w:bCs/>
          <w:sz w:val="32"/>
          <w:szCs w:val="32"/>
        </w:rPr>
        <w:t>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民兵训练基地管理中心</w:t>
      </w:r>
      <w:r>
        <w:rPr>
          <w:rFonts w:ascii="Times New Roman" w:hAnsi="Times New Roman" w:eastAsia="方正小标宋_GBK" w:cs="Times New Roman"/>
          <w:sz w:val="52"/>
          <w:szCs w:val="52"/>
        </w:rPr>
        <w:t>部门概况</w:t>
      </w:r>
    </w:p>
    <w:p>
      <w:pPr>
        <w:pStyle w:val="3"/>
        <w:ind w:left="0" w:leftChars="0" w:firstLine="0" w:firstLineChars="0"/>
        <w:rPr>
          <w:rFonts w:ascii="Times New Roman" w:hAnsi="Times New Roman" w:cs="Times New Roman"/>
        </w:rPr>
      </w:pPr>
    </w:p>
    <w:p>
      <w:pPr>
        <w:widowControl/>
        <w:numPr>
          <w:ilvl w:val="0"/>
          <w:numId w:val="1"/>
        </w:numPr>
        <w:spacing w:line="600" w:lineRule="exact"/>
        <w:ind w:firstLine="627" w:firstLineChars="196"/>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pPr>
        <w:widowControl/>
        <w:numPr>
          <w:ilvl w:val="0"/>
          <w:numId w:val="0"/>
        </w:numPr>
        <w:spacing w:line="600" w:lineRule="exact"/>
        <w:ind w:firstLine="640"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承担辖区内民兵日常训练组织、训练场地及设施设备维护管理、训练期间人员食宿保障等工作，协助开展国防教育宣传、应急处突训练支援等任务，保障民兵训练工作规范化、常态化开展。</w:t>
      </w:r>
    </w:p>
    <w:p>
      <w:pPr>
        <w:widowControl/>
        <w:spacing w:line="600" w:lineRule="exact"/>
        <w:ind w:firstLine="320" w:firstLineChars="1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numPr>
          <w:ilvl w:val="0"/>
          <w:numId w:val="0"/>
        </w:numPr>
        <w:spacing w:line="600" w:lineRule="exact"/>
        <w:ind w:firstLine="640" w:firstLineChars="200"/>
        <w:jc w:val="left"/>
        <w:rPr>
          <w:rFonts w:hint="eastAsia" w:ascii="仿宋" w:hAnsi="仿宋" w:eastAsia="仿宋" w:cs="仿宋"/>
          <w:b w:val="0"/>
          <w:bCs/>
          <w:sz w:val="32"/>
          <w:szCs w:val="32"/>
          <w:lang w:val="en-US" w:eastAsia="zh-CN"/>
        </w:rPr>
      </w:pPr>
      <w:r>
        <w:rPr>
          <w:rFonts w:ascii="Times New Roman" w:hAnsi="Times New Roman" w:eastAsia="仿宋_GB2312" w:cs="Times New Roman"/>
          <w:bCs/>
          <w:kern w:val="0"/>
          <w:sz w:val="32"/>
          <w:szCs w:val="32"/>
        </w:rPr>
        <w:t>（一）内设机构设置。</w:t>
      </w:r>
      <w:r>
        <w:rPr>
          <w:rFonts w:hint="eastAsia" w:ascii="仿宋" w:hAnsi="仿宋" w:eastAsia="仿宋" w:cs="仿宋"/>
          <w:b w:val="0"/>
          <w:bCs/>
          <w:sz w:val="32"/>
          <w:szCs w:val="32"/>
        </w:rPr>
        <w:t>本中心为</w:t>
      </w:r>
      <w:r>
        <w:rPr>
          <w:rFonts w:hint="eastAsia" w:ascii="仿宋" w:hAnsi="仿宋" w:eastAsia="仿宋" w:cs="仿宋"/>
          <w:b w:val="0"/>
          <w:bCs/>
          <w:sz w:val="32"/>
          <w:szCs w:val="32"/>
          <w:lang w:eastAsia="zh-CN"/>
        </w:rPr>
        <w:t>蓝山县人民政府办公室</w:t>
      </w:r>
      <w:r>
        <w:rPr>
          <w:rFonts w:hint="eastAsia" w:ascii="仿宋" w:hAnsi="仿宋" w:eastAsia="仿宋" w:cs="仿宋"/>
          <w:b w:val="0"/>
          <w:bCs/>
          <w:sz w:val="32"/>
          <w:szCs w:val="32"/>
        </w:rPr>
        <w:t>下属公益一类事业单位，内设3个职能科室，分别为综合管理科（负责行政、人事、财务等日常统筹）、训练保障科（负责训练计划对接、场地设备维护）、后勤服务科（负责人员食宿、物资采购与储备）</w:t>
      </w:r>
      <w:r>
        <w:rPr>
          <w:rFonts w:hint="eastAsia" w:ascii="仿宋" w:hAnsi="仿宋" w:eastAsia="仿宋" w:cs="仿宋"/>
          <w:b w:val="0"/>
          <w:bCs/>
          <w:sz w:val="32"/>
          <w:szCs w:val="32"/>
          <w:lang w:eastAsia="zh-CN"/>
        </w:rPr>
        <w:t>。</w:t>
      </w:r>
    </w:p>
    <w:p>
      <w:pPr>
        <w:keepNext w:val="0"/>
        <w:keepLines w:val="0"/>
        <w:pageBreakBefore w:val="0"/>
        <w:kinsoku/>
        <w:wordWrap/>
        <w:overflowPunct/>
        <w:topLinePunct w:val="0"/>
        <w:autoSpaceDE/>
        <w:autoSpaceDN/>
        <w:bidi w:val="0"/>
        <w:adjustRightInd/>
        <w:snapToGrid/>
        <w:spacing w:line="600" w:lineRule="atLeast"/>
        <w:ind w:left="0" w:leftChars="0" w:right="0" w:firstLine="640" w:firstLineChars="200"/>
        <w:jc w:val="both"/>
        <w:textAlignment w:val="auto"/>
        <w:rPr>
          <w:rFonts w:hint="default" w:ascii="Times New Roman" w:hAnsi="Times New Roman" w:eastAsia="仿宋_GB2312" w:cs="Times New Roman"/>
          <w:bCs/>
          <w:spacing w:val="0"/>
          <w:kern w:val="0"/>
          <w:sz w:val="32"/>
          <w:szCs w:val="32"/>
        </w:rPr>
      </w:pPr>
      <w:r>
        <w:rPr>
          <w:rFonts w:ascii="Times New Roman" w:hAnsi="Times New Roman" w:eastAsia="仿宋_GB2312" w:cs="Times New Roman"/>
          <w:bCs/>
          <w:kern w:val="0"/>
          <w:sz w:val="32"/>
          <w:szCs w:val="32"/>
        </w:rPr>
        <w:t>（二）决算单位构成。</w:t>
      </w:r>
      <w:r>
        <w:rPr>
          <w:rFonts w:hint="default" w:ascii="Times New Roman" w:hAnsi="Times New Roman" w:eastAsia="仿宋_GB2312" w:cs="Times New Roman"/>
          <w:spacing w:val="0"/>
          <w:sz w:val="32"/>
          <w:szCs w:val="32"/>
          <w:lang w:eastAsia="zh-CN"/>
        </w:rPr>
        <w:t>蓝山</w:t>
      </w:r>
      <w:r>
        <w:rPr>
          <w:rFonts w:hint="default" w:ascii="Times New Roman" w:hAnsi="Times New Roman" w:eastAsia="仿宋_GB2312" w:cs="Times New Roman"/>
          <w:spacing w:val="0"/>
          <w:sz w:val="32"/>
          <w:szCs w:val="32"/>
        </w:rPr>
        <w:t>县</w:t>
      </w:r>
      <w:r>
        <w:rPr>
          <w:rFonts w:hint="eastAsia" w:ascii="Times New Roman" w:hAnsi="Times New Roman" w:eastAsia="仿宋_GB2312" w:cs="Times New Roman"/>
          <w:spacing w:val="0"/>
          <w:sz w:val="32"/>
          <w:szCs w:val="32"/>
          <w:lang w:eastAsia="zh-CN"/>
        </w:rPr>
        <w:t>民兵训练基地管理中心</w:t>
      </w:r>
      <w:r>
        <w:rPr>
          <w:rFonts w:hint="default" w:ascii="Times New Roman" w:hAnsi="Times New Roman" w:eastAsia="仿宋_GB2312" w:cs="Times New Roman"/>
          <w:bCs/>
          <w:spacing w:val="0"/>
          <w:kern w:val="0"/>
          <w:sz w:val="32"/>
          <w:szCs w:val="32"/>
        </w:rPr>
        <w:t>202</w:t>
      </w:r>
      <w:r>
        <w:rPr>
          <w:rFonts w:hint="eastAsia" w:ascii="Times New Roman" w:hAnsi="Times New Roman" w:eastAsia="仿宋_GB2312" w:cs="Times New Roman"/>
          <w:bCs/>
          <w:spacing w:val="0"/>
          <w:kern w:val="0"/>
          <w:sz w:val="32"/>
          <w:szCs w:val="32"/>
          <w:lang w:val="en-US" w:eastAsia="zh-CN"/>
        </w:rPr>
        <w:t>4</w:t>
      </w:r>
      <w:r>
        <w:rPr>
          <w:rFonts w:hint="default" w:ascii="Times New Roman" w:hAnsi="Times New Roman" w:eastAsia="仿宋_GB2312" w:cs="Times New Roman"/>
          <w:bCs/>
          <w:spacing w:val="0"/>
          <w:kern w:val="0"/>
          <w:sz w:val="32"/>
          <w:szCs w:val="32"/>
        </w:rPr>
        <w:t>年部门决算汇总公开单位构成包括：</w:t>
      </w:r>
      <w:r>
        <w:rPr>
          <w:rFonts w:hint="default" w:ascii="Times New Roman" w:hAnsi="Times New Roman" w:eastAsia="仿宋_GB2312" w:cs="Times New Roman"/>
          <w:spacing w:val="0"/>
          <w:kern w:val="36"/>
          <w:sz w:val="32"/>
          <w:szCs w:val="32"/>
        </w:rPr>
        <w:t>蓝山县</w:t>
      </w:r>
      <w:r>
        <w:rPr>
          <w:rFonts w:hint="eastAsia" w:ascii="Times New Roman" w:hAnsi="Times New Roman" w:eastAsia="仿宋_GB2312" w:cs="Times New Roman"/>
          <w:spacing w:val="0"/>
          <w:kern w:val="36"/>
          <w:sz w:val="32"/>
          <w:szCs w:val="32"/>
          <w:lang w:eastAsia="zh-CN"/>
        </w:rPr>
        <w:t>民兵训练基地管理中心</w:t>
      </w:r>
      <w:r>
        <w:rPr>
          <w:rFonts w:hint="eastAsia" w:eastAsia="仿宋_GB2312" w:cs="Times New Roman"/>
          <w:spacing w:val="0"/>
          <w:kern w:val="36"/>
          <w:sz w:val="32"/>
          <w:szCs w:val="32"/>
          <w:lang w:val="en-US" w:eastAsia="zh-CN"/>
        </w:rPr>
        <w:t>单位</w:t>
      </w:r>
      <w:r>
        <w:rPr>
          <w:rFonts w:hint="default" w:ascii="Times New Roman" w:hAnsi="Times New Roman" w:eastAsia="仿宋_GB2312" w:cs="Times New Roman"/>
          <w:bCs/>
          <w:spacing w:val="0"/>
          <w:kern w:val="0"/>
          <w:sz w:val="32"/>
          <w:szCs w:val="32"/>
        </w:rPr>
        <w:t>本级。</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蓝山县民兵训练基地管理中心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Ind w:w="0" w:type="dxa"/>
        <w:tblLayout w:type="fixed"/>
        <w:tblCellMar>
          <w:top w:w="0" w:type="dxa"/>
          <w:left w:w="108" w:type="dxa"/>
          <w:bottom w:w="0" w:type="dxa"/>
          <w:right w:w="108" w:type="dxa"/>
        </w:tblCellMar>
      </w:tblPr>
      <w:tblGrid>
        <w:gridCol w:w="5352"/>
        <w:gridCol w:w="790"/>
        <w:gridCol w:w="1200"/>
        <w:gridCol w:w="4507"/>
        <w:gridCol w:w="790"/>
        <w:gridCol w:w="2257"/>
      </w:tblGrid>
      <w:tr>
        <w:tblPrEx>
          <w:tblLayout w:type="fixed"/>
          <w:tblCellMar>
            <w:top w:w="0" w:type="dxa"/>
            <w:left w:w="108" w:type="dxa"/>
            <w:bottom w:w="0" w:type="dxa"/>
            <w:right w:w="108" w:type="dxa"/>
          </w:tblCellMar>
        </w:tblPrEx>
        <w:trPr>
          <w:trHeight w:val="340" w:hRule="exact"/>
          <w:jc w:val="center"/>
        </w:trPr>
        <w:tc>
          <w:tcPr>
            <w:tcW w:w="73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5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2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94.00</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89.41</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3.43</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九、卫生健康支出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0.80</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十一、城乡社区支出</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0.36</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94.00</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880" w:firstLineChars="4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94.00</w:t>
            </w: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94.00</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104" w:firstLineChars="500"/>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94.00</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蓝山县民兵训练基地管理中心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94.00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94.00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2019999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其他一般公共服务支出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89.41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89.41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机关事业单位基本养老保险缴费支出</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事业单位医疗</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0.80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0.80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2120199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其他城乡社区管理事务支出</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蓝山县民兵训练基地管理中心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214" w:type="dxa"/>
        <w:jc w:val="center"/>
        <w:tblInd w:w="0" w:type="dxa"/>
        <w:tblLayout w:type="fixed"/>
        <w:tblCellMar>
          <w:top w:w="0" w:type="dxa"/>
          <w:left w:w="108" w:type="dxa"/>
          <w:bottom w:w="0" w:type="dxa"/>
          <w:right w:w="108" w:type="dxa"/>
        </w:tblCellMar>
      </w:tblPr>
      <w:tblGrid>
        <w:gridCol w:w="2035"/>
        <w:gridCol w:w="4056"/>
        <w:gridCol w:w="1488"/>
        <w:gridCol w:w="945"/>
        <w:gridCol w:w="946"/>
        <w:gridCol w:w="1489"/>
        <w:gridCol w:w="946"/>
        <w:gridCol w:w="2309"/>
      </w:tblGrid>
      <w:tr>
        <w:tblPrEx>
          <w:tblLayout w:type="fixed"/>
          <w:tblCellMar>
            <w:top w:w="0" w:type="dxa"/>
            <w:left w:w="108" w:type="dxa"/>
            <w:bottom w:w="0" w:type="dxa"/>
            <w:right w:w="108" w:type="dxa"/>
          </w:tblCellMar>
        </w:tblPrEx>
        <w:trPr>
          <w:trHeight w:val="595" w:hRule="atLeast"/>
          <w:jc w:val="center"/>
        </w:trPr>
        <w:tc>
          <w:tcPr>
            <w:tcW w:w="60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9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9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4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3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0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05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60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48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94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4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8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4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30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60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94.00</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45.39</w:t>
            </w: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48.61</w:t>
            </w:r>
            <w:r>
              <w:rPr>
                <w:rFonts w:ascii="Times New Roman" w:hAnsi="Times New Roman" w:eastAsia="仿宋_GB2312" w:cs="Times New Roman"/>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2019999</w:t>
            </w: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其他一般公共服务支出</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89.41</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40.80</w:t>
            </w: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48.61</w:t>
            </w:r>
            <w:r>
              <w:rPr>
                <w:rFonts w:ascii="Times New Roman" w:hAnsi="Times New Roman" w:eastAsia="仿宋_GB2312" w:cs="Times New Roman"/>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2080505</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机关事业单位基本养老保险缴费支出</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3.43</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3.43</w:t>
            </w: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2101102</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事业单位医疗</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0.80</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0.80</w:t>
            </w: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2120199</w:t>
            </w: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其他城乡社区管理事务支出</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0.36</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0.36</w:t>
            </w: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蓝山县民兵训练基地管理中心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220" w:type="dxa"/>
        <w:jc w:val="center"/>
        <w:tblInd w:w="0" w:type="dxa"/>
        <w:tblLayout w:type="fixed"/>
        <w:tblCellMar>
          <w:top w:w="0" w:type="dxa"/>
          <w:left w:w="108" w:type="dxa"/>
          <w:bottom w:w="0" w:type="dxa"/>
          <w:right w:w="108" w:type="dxa"/>
        </w:tblCellMar>
      </w:tblPr>
      <w:tblGrid>
        <w:gridCol w:w="3516"/>
        <w:gridCol w:w="616"/>
        <w:gridCol w:w="711"/>
        <w:gridCol w:w="2636"/>
        <w:gridCol w:w="616"/>
        <w:gridCol w:w="711"/>
        <w:gridCol w:w="1787"/>
        <w:gridCol w:w="1749"/>
        <w:gridCol w:w="1878"/>
      </w:tblGrid>
      <w:tr>
        <w:tblPrEx>
          <w:tblLayout w:type="fixed"/>
          <w:tblCellMar>
            <w:top w:w="0" w:type="dxa"/>
            <w:left w:w="108" w:type="dxa"/>
            <w:bottom w:w="0" w:type="dxa"/>
            <w:right w:w="108" w:type="dxa"/>
          </w:tblCellMar>
        </w:tblPrEx>
        <w:trPr>
          <w:trHeight w:val="402" w:hRule="atLeast"/>
          <w:jc w:val="center"/>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7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94.00</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89.41</w:t>
            </w: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89.41</w:t>
            </w: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3.43</w:t>
            </w: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3.43</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0.80</w:t>
            </w: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0.80</w:t>
            </w: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71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十一、城乡社区支出</w:t>
            </w: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0.36</w:t>
            </w: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0.36</w:t>
            </w: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94.00</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94.00</w:t>
            </w: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94.00</w:t>
            </w: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94.00</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71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94.00</w:t>
            </w:r>
            <w:r>
              <w:rPr>
                <w:rFonts w:ascii="Times New Roman" w:hAnsi="Times New Roman" w:eastAsia="仿宋_GB2312" w:cs="Times New Roman"/>
                <w:kern w:val="0"/>
                <w:sz w:val="22"/>
              </w:rPr>
              <w:t>　</w:t>
            </w:r>
          </w:p>
        </w:tc>
        <w:tc>
          <w:tcPr>
            <w:tcW w:w="178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94.00</w:t>
            </w:r>
            <w:r>
              <w:rPr>
                <w:rFonts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蓝山县民兵训练基地管理中心</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94.00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45.39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48.61</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其他一般公共服务支出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89.41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40.80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48.61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机关事业单位基本养老保险缴费支出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3.43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3.43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事业单位医疗</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0.80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0.80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其他城乡社区管理事务支出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0.36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0.36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蓝山县民兵训练基地管理中心</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36.70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7.59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10.98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10.34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0.74</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8.10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0.74</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37.06</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8.33</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蓝山县民兵训练基地管理中心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蓝山县民兵训练基地管理中心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蓝山县民兵训练基地管理中心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22.06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19.01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人员经费和办公经费减少。</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45.39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48.29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48.61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51.71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22.06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19.01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人员经费和办公经费减少。</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22.06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19.01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人员经费和办公经费减少。</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89.41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95.12</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3.43万元,占3.65%；卫生健康(类)支出0.80万元,占0.85%;城乡社区(类)支出0.36万元,占0.38%。</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94.00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w:t>
      </w:r>
    </w:p>
    <w:p>
      <w:pPr>
        <w:pStyle w:val="14"/>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89.41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(类)机关事业单位基本养老保险缴费支出</w:t>
      </w:r>
      <w:r>
        <w:rPr>
          <w:rFonts w:ascii="Times New Roman" w:hAnsi="Times New Roman" w:eastAsia="仿宋_GB2312" w:cs="Times New Roman"/>
          <w:sz w:val="32"/>
          <w:szCs w:val="32"/>
        </w:rPr>
        <w:t>。</w:t>
      </w:r>
    </w:p>
    <w:p>
      <w:pPr>
        <w:pStyle w:val="14"/>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4"/>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卫生健康支出(类)事业单位医疗。</w:t>
      </w:r>
    </w:p>
    <w:p>
      <w:pPr>
        <w:pStyle w:val="14"/>
        <w:numPr>
          <w:ilvl w:val="0"/>
          <w:numId w:val="0"/>
        </w:numPr>
        <w:overflowPunct w:val="0"/>
        <w:autoSpaceDE/>
        <w:autoSpaceDN/>
        <w:spacing w:line="600" w:lineRule="exact"/>
        <w:jc w:val="both"/>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4"/>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pacing w:val="0"/>
          <w:sz w:val="32"/>
          <w:szCs w:val="32"/>
          <w:lang w:val="en-US" w:eastAsia="zh-CN"/>
        </w:rPr>
        <w:t>城乡社区支出(类)</w:t>
      </w:r>
      <w:r>
        <w:rPr>
          <w:rFonts w:hint="eastAsia" w:ascii="Times New Roman" w:hAnsi="Times New Roman" w:eastAsia="仿宋_GB2312" w:cs="Times New Roman"/>
          <w:sz w:val="32"/>
          <w:szCs w:val="32"/>
          <w:lang w:val="en-US" w:eastAsia="zh-CN"/>
        </w:rPr>
        <w:t>其他城乡社区管理事务支出。</w:t>
      </w:r>
    </w:p>
    <w:p>
      <w:pPr>
        <w:pStyle w:val="14"/>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4"/>
        <w:numPr>
          <w:ilvl w:val="0"/>
          <w:numId w:val="0"/>
        </w:numPr>
        <w:overflowPunct w:val="0"/>
        <w:autoSpaceDE/>
        <w:autoSpaceDN/>
        <w:spacing w:line="600" w:lineRule="exact"/>
        <w:ind w:leftChars="200"/>
        <w:jc w:val="both"/>
        <w:rPr>
          <w:rFonts w:hint="eastAsia" w:ascii="Times New Roman" w:hAnsi="Times New Roman" w:eastAsia="仿宋_GB2312" w:cs="Times New Roman"/>
          <w:sz w:val="32"/>
          <w:szCs w:val="32"/>
          <w:lang w:val="en-US" w:eastAsia="zh-CN"/>
        </w:rPr>
      </w:pP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45.39</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37.06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81.65</w:t>
      </w:r>
      <w:r>
        <w:rPr>
          <w:rFonts w:ascii="Times New Roman" w:hAnsi="Times New Roman" w:eastAsia="仿宋_GB2312" w:cs="Times New Roman"/>
          <w:sz w:val="32"/>
          <w:szCs w:val="32"/>
        </w:rPr>
        <w:t>%,主要包括基本工资、津贴补贴、奖金、</w:t>
      </w:r>
      <w:r>
        <w:rPr>
          <w:rFonts w:hint="default" w:ascii="Times New Roman" w:hAnsi="Times New Roman" w:eastAsia="仿宋_GB2312" w:cs="Times New Roman"/>
          <w:color w:val="auto"/>
          <w:spacing w:val="0"/>
          <w:sz w:val="32"/>
          <w:szCs w:val="32"/>
        </w:rPr>
        <w:t>伙食补助费</w:t>
      </w:r>
      <w:r>
        <w:rPr>
          <w:rFonts w:hint="default"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eastAsia="zh-CN"/>
        </w:rPr>
        <w:t>绩效工资、机关事业单位基本养老保险费、职工基本医疗保险缴费、</w:t>
      </w:r>
      <w:r>
        <w:rPr>
          <w:rFonts w:hint="default" w:ascii="Times New Roman" w:hAnsi="Times New Roman" w:eastAsia="仿宋_GB2312" w:cs="Times New Roman"/>
          <w:color w:val="auto"/>
          <w:spacing w:val="0"/>
          <w:sz w:val="32"/>
          <w:szCs w:val="32"/>
        </w:rPr>
        <w:t>其他社会保障缴费</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8.33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18.35</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color w:val="auto"/>
          <w:spacing w:val="0"/>
          <w:sz w:val="32"/>
          <w:szCs w:val="32"/>
          <w:lang w:eastAsia="zh-CN"/>
        </w:rPr>
        <w:t>、劳务费、工会经费、其他商品和服务支出、</w:t>
      </w:r>
      <w:r>
        <w:rPr>
          <w:rFonts w:ascii="Times New Roman" w:hAnsi="Times New Roman" w:eastAsia="仿宋_GB2312" w:cs="Times New Roman"/>
          <w:sz w:val="32"/>
          <w:szCs w:val="32"/>
        </w:rPr>
        <w:t>印刷费、咨询费、手续费。</w:t>
      </w:r>
    </w:p>
    <w:p>
      <w:pPr>
        <w:pStyle w:val="14"/>
        <w:numPr>
          <w:ilvl w:val="0"/>
          <w:numId w:val="3"/>
        </w:numPr>
        <w:overflowPunct w:val="0"/>
        <w:autoSpaceDE/>
        <w:autoSpaceDN/>
        <w:spacing w:line="600" w:lineRule="exact"/>
        <w:ind w:firstLine="640" w:firstLineChars="200"/>
        <w:jc w:val="both"/>
        <w:rPr>
          <w:rFonts w:hint="eastAsia" w:ascii="Times New Roman" w:hAnsi="Times New Roman" w:cs="Times New Roman"/>
          <w:bCs/>
          <w:sz w:val="32"/>
          <w:szCs w:val="32"/>
          <w:lang w:eastAsia="zh-CN"/>
        </w:rPr>
      </w:pPr>
      <w:r>
        <w:rPr>
          <w:rFonts w:ascii="Times New Roman" w:hAnsi="Times New Roman" w:cs="Times New Roman"/>
          <w:bCs/>
          <w:sz w:val="32"/>
          <w:szCs w:val="32"/>
        </w:rPr>
        <w:t>财政拨款“三公”经费支出决算情况说明</w:t>
      </w:r>
      <w:r>
        <w:rPr>
          <w:rFonts w:hint="eastAsia" w:ascii="Times New Roman" w:hAnsi="Times New Roman" w:cs="Times New Roman"/>
          <w:bCs/>
          <w:sz w:val="32"/>
          <w:szCs w:val="32"/>
          <w:lang w:eastAsia="zh-CN"/>
        </w:rPr>
        <w:t>。</w:t>
      </w:r>
    </w:p>
    <w:p>
      <w:pPr>
        <w:pStyle w:val="14"/>
        <w:numPr>
          <w:ilvl w:val="0"/>
          <w:numId w:val="0"/>
        </w:numPr>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default" w:ascii="Times New Roman" w:hAnsi="Times New Roman" w:eastAsia="仿宋_GB2312" w:cs="Times New Roman"/>
          <w:color w:val="auto"/>
          <w:spacing w:val="0"/>
          <w:sz w:val="32"/>
          <w:szCs w:val="32"/>
        </w:rPr>
        <w:t>与上年</w:t>
      </w:r>
      <w:r>
        <w:rPr>
          <w:rFonts w:hint="eastAsia" w:ascii="Times New Roman" w:hAnsi="Times New Roman" w:eastAsia="仿宋_GB2312" w:cs="Times New Roman"/>
          <w:color w:val="auto"/>
          <w:spacing w:val="0"/>
          <w:sz w:val="32"/>
          <w:szCs w:val="32"/>
          <w:lang w:eastAsia="zh-CN"/>
        </w:rPr>
        <w:t>相比</w:t>
      </w:r>
      <w:r>
        <w:rPr>
          <w:rFonts w:hint="default" w:ascii="Times New Roman" w:hAnsi="Times New Roman" w:eastAsia="仿宋_GB2312" w:cs="Times New Roman"/>
          <w:color w:val="auto"/>
          <w:spacing w:val="0"/>
          <w:sz w:val="32"/>
          <w:szCs w:val="32"/>
          <w:lang w:eastAsia="zh-CN"/>
        </w:rPr>
        <w:t>持平</w:t>
      </w:r>
      <w:r>
        <w:rPr>
          <w:rFonts w:hint="eastAsia" w:ascii="Times New Roman" w:hAnsi="Times New Roman" w:eastAsia="仿宋_GB2312" w:cs="Times New Roman"/>
          <w:color w:val="auto"/>
          <w:spacing w:val="0"/>
          <w:sz w:val="32"/>
          <w:szCs w:val="32"/>
          <w:lang w:eastAsia="zh-CN"/>
        </w:rPr>
        <w:t>。</w:t>
      </w:r>
    </w:p>
    <w:p>
      <w:pPr>
        <w:pStyle w:val="14"/>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default" w:ascii="Times New Roman" w:hAnsi="Times New Roman" w:eastAsia="仿宋_GB2312" w:cs="Times New Roman"/>
          <w:color w:val="auto"/>
          <w:spacing w:val="0"/>
          <w:sz w:val="32"/>
          <w:szCs w:val="32"/>
        </w:rPr>
        <w:t>与上年</w:t>
      </w:r>
      <w:r>
        <w:rPr>
          <w:rFonts w:hint="eastAsia" w:ascii="Times New Roman" w:hAnsi="Times New Roman" w:eastAsia="仿宋_GB2312" w:cs="Times New Roman"/>
          <w:color w:val="auto"/>
          <w:spacing w:val="0"/>
          <w:sz w:val="32"/>
          <w:szCs w:val="32"/>
          <w:lang w:eastAsia="zh-CN"/>
        </w:rPr>
        <w:t>相比</w:t>
      </w:r>
      <w:r>
        <w:rPr>
          <w:rFonts w:hint="default" w:ascii="Times New Roman" w:hAnsi="Times New Roman" w:eastAsia="仿宋_GB2312" w:cs="Times New Roman"/>
          <w:color w:val="auto"/>
          <w:spacing w:val="0"/>
          <w:sz w:val="32"/>
          <w:szCs w:val="32"/>
          <w:lang w:eastAsia="zh-CN"/>
        </w:rPr>
        <w:t>持平</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持平的主要原因是无因公出国</w:t>
      </w:r>
      <w:r>
        <w:rPr>
          <w:rFonts w:hint="eastAsia" w:ascii="Times New Roman" w:hAnsi="Times New Roman" w:eastAsia="仿宋_GB2312" w:cs="Times New Roman"/>
          <w:b w:val="0"/>
          <w:bCs w:val="0"/>
          <w:color w:val="auto"/>
          <w:spacing w:val="0"/>
          <w:sz w:val="32"/>
          <w:szCs w:val="32"/>
          <w:lang w:val="en-US" w:eastAsia="zh-CN"/>
        </w:rPr>
        <w:t>(境)费支出</w:t>
      </w:r>
      <w:r>
        <w:rPr>
          <w:rFonts w:hint="default" w:ascii="Times New Roman" w:hAnsi="Times New Roman" w:eastAsia="仿宋_GB2312" w:cs="Times New Roman"/>
          <w:color w:val="auto"/>
          <w:spacing w:val="0"/>
          <w:sz w:val="32"/>
          <w:szCs w:val="32"/>
          <w:lang w:eastAsia="zh-CN"/>
        </w:rPr>
        <w:t>。</w:t>
      </w:r>
    </w:p>
    <w:p>
      <w:pPr>
        <w:pStyle w:val="14"/>
        <w:keepNext w:val="0"/>
        <w:keepLines w:val="0"/>
        <w:pageBreakBefore w:val="0"/>
        <w:kinsoku/>
        <w:overflowPunct/>
        <w:topLinePunct w:val="0"/>
        <w:bidi w:val="0"/>
        <w:snapToGrid/>
        <w:spacing w:line="600" w:lineRule="exact"/>
        <w:ind w:right="0" w:firstLine="640" w:firstLineChars="200"/>
        <w:textAlignment w:val="auto"/>
        <w:rPr>
          <w:rFonts w:hint="default" w:ascii="Times New Roman" w:hAnsi="Times New Roman" w:eastAsia="仿宋_GB2312" w:cs="Times New Roman"/>
          <w:color w:val="auto"/>
          <w:spacing w:val="0"/>
          <w:sz w:val="32"/>
          <w:szCs w:val="32"/>
          <w:lang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default" w:ascii="Times New Roman" w:hAnsi="Times New Roman" w:eastAsia="仿宋_GB2312" w:cs="Times New Roman"/>
          <w:color w:val="auto"/>
          <w:spacing w:val="0"/>
          <w:sz w:val="32"/>
          <w:szCs w:val="32"/>
        </w:rPr>
        <w:t>与上年</w:t>
      </w:r>
      <w:r>
        <w:rPr>
          <w:rFonts w:hint="eastAsia" w:ascii="Times New Roman" w:hAnsi="Times New Roman" w:eastAsia="仿宋_GB2312" w:cs="Times New Roman"/>
          <w:color w:val="auto"/>
          <w:spacing w:val="0"/>
          <w:sz w:val="32"/>
          <w:szCs w:val="32"/>
          <w:lang w:eastAsia="zh-CN"/>
        </w:rPr>
        <w:t>相比</w:t>
      </w:r>
      <w:r>
        <w:rPr>
          <w:rFonts w:hint="default" w:ascii="Times New Roman" w:hAnsi="Times New Roman" w:eastAsia="仿宋_GB2312" w:cs="Times New Roman"/>
          <w:color w:val="auto"/>
          <w:spacing w:val="0"/>
          <w:sz w:val="32"/>
          <w:szCs w:val="32"/>
          <w:lang w:eastAsia="zh-CN"/>
        </w:rPr>
        <w:t>持平</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持平的主要原因是无</w:t>
      </w:r>
      <w:r>
        <w:rPr>
          <w:rFonts w:ascii="Times New Roman" w:hAnsi="Times New Roman" w:eastAsia="仿宋_GB2312" w:cs="Times New Roman"/>
          <w:sz w:val="32"/>
          <w:szCs w:val="32"/>
        </w:rPr>
        <w:t>公务用车购置费及运行维护费</w:t>
      </w:r>
      <w:r>
        <w:rPr>
          <w:rFonts w:hint="eastAsia" w:ascii="Times New Roman" w:hAnsi="Times New Roman" w:eastAsia="仿宋_GB2312" w:cs="Times New Roman"/>
          <w:b w:val="0"/>
          <w:bCs w:val="0"/>
          <w:color w:val="auto"/>
          <w:spacing w:val="0"/>
          <w:sz w:val="32"/>
          <w:szCs w:val="32"/>
          <w:lang w:val="en-US" w:eastAsia="zh-CN"/>
        </w:rPr>
        <w:t>支出</w:t>
      </w:r>
      <w:r>
        <w:rPr>
          <w:rFonts w:hint="default" w:ascii="Times New Roman" w:hAnsi="Times New Roman" w:eastAsia="仿宋_GB2312" w:cs="Times New Roman"/>
          <w:color w:val="auto"/>
          <w:spacing w:val="0"/>
          <w:sz w:val="32"/>
          <w:szCs w:val="32"/>
          <w:lang w:eastAsia="zh-CN"/>
        </w:rPr>
        <w:t>。</w:t>
      </w:r>
    </w:p>
    <w:p>
      <w:pPr>
        <w:pStyle w:val="14"/>
        <w:keepNext w:val="0"/>
        <w:keepLines w:val="0"/>
        <w:pageBreakBefore w:val="0"/>
        <w:kinsoku/>
        <w:overflowPunct/>
        <w:topLinePunct w:val="0"/>
        <w:bidi w:val="0"/>
        <w:snapToGrid/>
        <w:spacing w:line="600" w:lineRule="exact"/>
        <w:ind w:right="0" w:firstLine="640" w:firstLineChars="200"/>
        <w:textAlignment w:val="auto"/>
        <w:rPr>
          <w:rFonts w:hint="eastAsia" w:ascii="Times New Roman" w:hAnsi="Times New Roman" w:eastAsia="仿宋_GB2312" w:cs="Times New Roman"/>
          <w:color w:val="auto"/>
          <w:spacing w:val="0"/>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default" w:ascii="Times New Roman" w:hAnsi="Times New Roman" w:eastAsia="仿宋_GB2312" w:cs="Times New Roman"/>
          <w:color w:val="auto"/>
          <w:spacing w:val="0"/>
          <w:sz w:val="32"/>
          <w:szCs w:val="32"/>
        </w:rPr>
        <w:t>与上年</w:t>
      </w:r>
      <w:r>
        <w:rPr>
          <w:rFonts w:hint="eastAsia" w:ascii="Times New Roman" w:hAnsi="Times New Roman" w:eastAsia="仿宋_GB2312" w:cs="Times New Roman"/>
          <w:color w:val="auto"/>
          <w:spacing w:val="0"/>
          <w:sz w:val="32"/>
          <w:szCs w:val="32"/>
          <w:lang w:eastAsia="zh-CN"/>
        </w:rPr>
        <w:t>相比</w:t>
      </w:r>
      <w:r>
        <w:rPr>
          <w:rFonts w:hint="default" w:ascii="Times New Roman" w:hAnsi="Times New Roman" w:eastAsia="仿宋_GB2312" w:cs="Times New Roman"/>
          <w:color w:val="auto"/>
          <w:spacing w:val="0"/>
          <w:sz w:val="32"/>
          <w:szCs w:val="32"/>
          <w:lang w:eastAsia="zh-CN"/>
        </w:rPr>
        <w:t>持平</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持平的主要原因是无</w:t>
      </w:r>
      <w:r>
        <w:rPr>
          <w:rFonts w:ascii="Times New Roman" w:hAnsi="Times New Roman" w:eastAsia="仿宋_GB2312" w:cs="Times New Roman"/>
          <w:sz w:val="32"/>
          <w:szCs w:val="32"/>
        </w:rPr>
        <w:t>公务接待费支出</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color w:val="auto"/>
          <w:spacing w:val="0"/>
          <w:sz w:val="32"/>
          <w:szCs w:val="32"/>
        </w:rPr>
        <w:t>202</w:t>
      </w: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年度本单位无政府性基金收支</w:t>
      </w:r>
      <w:r>
        <w:rPr>
          <w:rFonts w:hint="default" w:ascii="Times New Roman" w:hAnsi="Times New Roman" w:eastAsia="仿宋_GB2312" w:cs="Times New Roman"/>
          <w:color w:val="auto"/>
          <w:spacing w:val="0"/>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，与上年相比持平</w:t>
      </w:r>
      <w:r>
        <w:rPr>
          <w:rFonts w:hint="eastAsia" w:ascii="Times New Roman" w:hAnsi="Times New Roman" w:eastAsia="仿宋_GB2312" w:cs="Times New Roman"/>
          <w:sz w:val="32"/>
          <w:szCs w:val="32"/>
          <w:lang w:val="en-US" w:eastAsia="zh-CN"/>
        </w:rPr>
        <w:t>,持平的主要原因是基地严格遵循预算管理规定,按照实际工作需求和往年支出情况,在执行过程中没有出现预算外的支出情况。</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等节庆、晚会、论坛、赛事活动，开支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4"/>
        <w:keepNext w:val="0"/>
        <w:keepLines w:val="0"/>
        <w:pageBreakBefore w:val="0"/>
        <w:kinsoku/>
        <w:overflowPunct/>
        <w:topLinePunct w:val="0"/>
        <w:bidi w:val="0"/>
        <w:snapToGrid/>
        <w:spacing w:line="600" w:lineRule="exact"/>
        <w:ind w:left="0" w:leftChars="0" w:right="0" w:firstLine="640" w:firstLineChars="200"/>
        <w:jc w:val="both"/>
        <w:textAlignment w:val="auto"/>
        <w:rPr>
          <w:rFonts w:hint="default" w:ascii="Times New Roman" w:hAnsi="Times New Roman" w:eastAsia="仿宋_GB2312" w:cs="Times New Roman"/>
          <w:color w:val="3C3C3C"/>
          <w:spacing w:val="0"/>
          <w:sz w:val="32"/>
          <w:szCs w:val="32"/>
          <w:shd w:val="clear" w:color="auto" w:fill="FFFFFF"/>
        </w:rPr>
      </w:pPr>
      <w:r>
        <w:rPr>
          <w:rFonts w:hint="eastAsia" w:ascii="Times New Roman" w:hAnsi="Times New Roman" w:eastAsia="仿宋_GB2312" w:cs="Times New Roman"/>
          <w:color w:val="auto"/>
          <w:spacing w:val="0"/>
          <w:kern w:val="2"/>
          <w:sz w:val="32"/>
          <w:szCs w:val="32"/>
          <w:lang w:val="en-US" w:eastAsia="zh-CN" w:bidi="ar-SA"/>
        </w:rPr>
        <w:t>本部门2024年整体</w:t>
      </w:r>
      <w:r>
        <w:rPr>
          <w:rFonts w:hint="default" w:ascii="Times New Roman" w:hAnsi="Times New Roman" w:eastAsia="仿宋_GB2312" w:cs="Times New Roman"/>
          <w:color w:val="auto"/>
          <w:spacing w:val="0"/>
          <w:kern w:val="2"/>
          <w:sz w:val="32"/>
          <w:szCs w:val="32"/>
          <w:lang w:val="en-US" w:eastAsia="zh-CN" w:bidi="ar-SA"/>
        </w:rPr>
        <w:t>支出</w:t>
      </w:r>
      <w:r>
        <w:rPr>
          <w:rFonts w:hint="eastAsia" w:ascii="Times New Roman" w:hAnsi="Times New Roman" w:eastAsia="仿宋_GB2312" w:cs="Times New Roman"/>
          <w:color w:val="auto"/>
          <w:spacing w:val="0"/>
          <w:kern w:val="2"/>
          <w:sz w:val="32"/>
          <w:szCs w:val="32"/>
          <w:lang w:val="en-US" w:eastAsia="zh-CN" w:bidi="ar-SA"/>
        </w:rPr>
        <w:t>94.00</w:t>
      </w:r>
      <w:r>
        <w:rPr>
          <w:rFonts w:hint="default" w:ascii="Times New Roman" w:hAnsi="Times New Roman" w:eastAsia="仿宋_GB2312" w:cs="Times New Roman"/>
          <w:color w:val="auto"/>
          <w:spacing w:val="0"/>
          <w:kern w:val="2"/>
          <w:sz w:val="32"/>
          <w:szCs w:val="32"/>
          <w:lang w:val="en-US" w:eastAsia="zh-CN" w:bidi="ar-SA"/>
        </w:rPr>
        <w:t>万元。其中，基本支出</w:t>
      </w:r>
      <w:r>
        <w:rPr>
          <w:rFonts w:hint="eastAsia" w:ascii="Times New Roman" w:hAnsi="Times New Roman" w:eastAsia="仿宋_GB2312" w:cs="Times New Roman"/>
          <w:color w:val="auto"/>
          <w:spacing w:val="0"/>
          <w:kern w:val="2"/>
          <w:sz w:val="32"/>
          <w:szCs w:val="32"/>
          <w:lang w:val="en-US" w:eastAsia="zh-CN" w:bidi="ar-SA"/>
        </w:rPr>
        <w:t>45.39</w:t>
      </w:r>
      <w:r>
        <w:rPr>
          <w:rFonts w:hint="default" w:ascii="Times New Roman" w:hAnsi="Times New Roman" w:eastAsia="仿宋_GB2312" w:cs="Times New Roman"/>
          <w:color w:val="auto"/>
          <w:spacing w:val="0"/>
          <w:kern w:val="2"/>
          <w:sz w:val="32"/>
          <w:szCs w:val="32"/>
          <w:lang w:val="en-US" w:eastAsia="zh-CN" w:bidi="ar-SA"/>
        </w:rPr>
        <w:t>万元，项目支出</w:t>
      </w:r>
      <w:r>
        <w:rPr>
          <w:rFonts w:hint="eastAsia" w:ascii="Times New Roman" w:hAnsi="Times New Roman" w:eastAsia="仿宋_GB2312" w:cs="Times New Roman"/>
          <w:color w:val="auto"/>
          <w:spacing w:val="0"/>
          <w:kern w:val="2"/>
          <w:sz w:val="32"/>
          <w:szCs w:val="32"/>
          <w:lang w:val="en-US" w:eastAsia="zh-CN" w:bidi="ar-SA"/>
        </w:rPr>
        <w:t>48.61</w:t>
      </w:r>
      <w:r>
        <w:rPr>
          <w:rFonts w:hint="default" w:ascii="Times New Roman" w:hAnsi="Times New Roman" w:eastAsia="仿宋_GB2312" w:cs="Times New Roman"/>
          <w:color w:val="auto"/>
          <w:spacing w:val="0"/>
          <w:kern w:val="2"/>
          <w:sz w:val="32"/>
          <w:szCs w:val="32"/>
          <w:lang w:val="en-US" w:eastAsia="zh-CN" w:bidi="ar-SA"/>
        </w:rPr>
        <w:t>万元</w:t>
      </w:r>
      <w:r>
        <w:rPr>
          <w:rFonts w:hint="eastAsia" w:ascii="Times New Roman" w:hAnsi="Times New Roman" w:eastAsia="仿宋_GB2312" w:cs="Times New Roman"/>
          <w:color w:val="auto"/>
          <w:spacing w:val="0"/>
          <w:kern w:val="2"/>
          <w:sz w:val="32"/>
          <w:szCs w:val="32"/>
          <w:lang w:val="en-US" w:eastAsia="zh-CN" w:bidi="ar-SA"/>
        </w:rPr>
        <w:t>,本年度重点项目支出0万元</w:t>
      </w:r>
      <w:r>
        <w:rPr>
          <w:rFonts w:hint="default" w:ascii="Times New Roman" w:hAnsi="Times New Roman" w:eastAsia="仿宋_GB2312" w:cs="Times New Roman"/>
          <w:color w:val="auto"/>
          <w:spacing w:val="0"/>
          <w:kern w:val="2"/>
          <w:sz w:val="32"/>
          <w:szCs w:val="32"/>
          <w:lang w:val="en-US" w:eastAsia="zh-CN" w:bidi="ar-SA"/>
        </w:rPr>
        <w:t>。其中：基本支出主要列支人员工资福利和公用工作经费。</w:t>
      </w:r>
    </w:p>
    <w:p>
      <w:pPr>
        <w:pStyle w:val="14"/>
        <w:keepNext w:val="0"/>
        <w:keepLines w:val="0"/>
        <w:pageBreakBefore w:val="0"/>
        <w:kinsoku/>
        <w:overflowPunct/>
        <w:topLinePunct w:val="0"/>
        <w:bidi w:val="0"/>
        <w:snapToGrid/>
        <w:spacing w:line="60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本</w:t>
      </w:r>
      <w:r>
        <w:rPr>
          <w:rFonts w:hint="default" w:ascii="Times New Roman" w:hAnsi="Times New Roman" w:eastAsia="仿宋_GB2312" w:cs="Times New Roman"/>
          <w:color w:val="auto"/>
          <w:spacing w:val="0"/>
          <w:kern w:val="2"/>
          <w:sz w:val="32"/>
          <w:szCs w:val="32"/>
          <w:lang w:val="en-US" w:eastAsia="zh-CN" w:bidi="ar-SA"/>
        </w:rPr>
        <w:t>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14"/>
        <w:numPr>
          <w:ilvl w:val="0"/>
          <w:numId w:val="4"/>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2024年度民兵训练基地决算评价工作全面、客观地反映了基地的资金使用效益和工作执行情况。基于绩效自评结果、部门评价结果以及财政评价结果，我们对2025年度预算安排、支出结构调整和资金管理制度建设等方面进行了如下优化与应用：</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一、2025年度预算安排调整</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1. 精准预算编制：依据2024年决算评价中关于各项训练任务成本的分析，对2025年预算进行精细化编制。如在民兵战术训练预算中，根据去年训练物资实际消耗和训练时长，更精确地安排训练器材购置、场地租赁等费用，避免预算偏差。</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2. 重点项目倾斜：对于在2024年评价中成效显著的项目，如国防教育进校园活动，2025年加大预算支持</w:t>
      </w:r>
      <w:r>
        <w:rPr>
          <w:rFonts w:hint="eastAsia" w:ascii="Times New Roman" w:hAnsi="Times New Roman" w:eastAsia="仿宋_GB2312" w:cs="Times New Roman"/>
          <w:color w:val="auto"/>
          <w:sz w:val="32"/>
          <w:szCs w:val="32"/>
          <w:lang w:eastAsia="zh-CN"/>
        </w:rPr>
        <w:t>。</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 弹性预算设置：考虑到训练任务可能因应急情况或政策调整发生变化，在2025年预算中预留一定比例的弹性资金，用于应对临时性训练任务或突发情况，确保训练工作不受资金制约。</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二、支出结构优化调整</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1. 资源合理分配：参考2024年评价中各项目资金使用效率，减少对低效项目的投入，将资金更多地投向核心训练任务和关键保障环节。</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 保障基础建设：针对评价中指出的训练场地设施老化问题，2025年加大对基础设施建设和维护的支出。计划对部分训练场地进行升级改造，提升训练安全性和舒适度，为训练工作提供更好的硬件支持。</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 控制行政成本：严格控制机关运行经费支出，在保证工作正常开展的前提下，减少不必要的行政开支，如精简会议、优化办公用品采购流程等，将更多资金用于民兵训练和服务保障。</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三、资金管理制度建设完善</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1. 强化预算执行监督：建立健全预算执行跟踪机制，定期对预算执行情况进行检查和分析，及时发现并纠正预算执行中的偏差。每月对各项支出进行统计分析，对进度缓慢或超预算的项目进行重点监控和调整。</w:t>
      </w:r>
    </w:p>
    <w:p>
      <w:pPr>
        <w:pStyle w:val="14"/>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 规范资金审批流程：完善资金审批制度，明确审批权限和流程，确保每一笔资金的使用都经过严格审核。对大额资金支出实行集体决策和联签制度，加强资金使用的风险防控。</w:t>
      </w:r>
    </w:p>
    <w:p>
      <w:pPr>
        <w:pStyle w:val="14"/>
        <w:numPr>
          <w:ilvl w:val="0"/>
          <w:numId w:val="0"/>
        </w:numPr>
        <w:overflowPunct w:val="0"/>
        <w:autoSpaceDE/>
        <w:autoSpaceDN/>
        <w:spacing w:line="600" w:lineRule="exact"/>
        <w:jc w:val="both"/>
        <w:rPr>
          <w:rFonts w:ascii="Times New Roman" w:hAnsi="Times New Roman" w:eastAsia="仿宋_GB2312" w:cs="Times New Roman"/>
          <w:color w:val="auto"/>
          <w:sz w:val="72"/>
          <w:szCs w:val="72"/>
        </w:rPr>
      </w:pPr>
      <w:r>
        <w:rPr>
          <w:rFonts w:hint="eastAsia" w:ascii="Times New Roman" w:hAnsi="Times New Roman" w:eastAsia="仿宋_GB2312" w:cs="Times New Roman"/>
          <w:color w:val="auto"/>
          <w:sz w:val="32"/>
          <w:szCs w:val="32"/>
        </w:rPr>
        <w:t>3. 加强绩效评价结果应用：将绩效评价结果作为资金分配和调整的重要依据，对绩效评价优秀的项目给予奖励和优先支持，对绩效不达标项目进行整改或削减资金。建立绩效评价结果反馈机制，将评价结果反馈给相关部门和责任人，促进工作改进和提升。</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ascii="Times New Roman" w:hAnsi="Times New Roman" w:eastAsia="仿宋_GB2312" w:cs="Times New Roman"/>
          <w:b/>
          <w:bCs/>
          <w:color w:val="000000"/>
          <w:kern w:val="0"/>
          <w:sz w:val="32"/>
          <w:szCs w:val="32"/>
          <w:lang w:val="en-US"/>
        </w:rPr>
        <w:t>机关运行经费</w:t>
      </w:r>
      <w:r>
        <w:rPr>
          <w:rFonts w:ascii="Times New Roman" w:hAnsi="Times New Roman" w:eastAsia="仿宋_GB2312" w:cs="Times New Roman"/>
          <w:color w:val="000000"/>
          <w:kern w:val="0"/>
          <w:sz w:val="32"/>
          <w:szCs w:val="32"/>
          <w:lang w:val="en-US"/>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r>
        <w:rPr>
          <w:rFonts w:ascii="Times New Roman" w:hAnsi="Times New Roman" w:eastAsia="仿宋_GB2312" w:cs="Times New Roman"/>
          <w:b/>
          <w:bCs/>
          <w:color w:val="000000"/>
          <w:kern w:val="0"/>
          <w:sz w:val="32"/>
          <w:szCs w:val="32"/>
          <w:lang w:val="en-US"/>
        </w:rPr>
        <w:t>“三公”经费</w:t>
      </w:r>
      <w:r>
        <w:rPr>
          <w:rFonts w:ascii="Times New Roman" w:hAnsi="Times New Roman" w:eastAsia="仿宋_GB2312" w:cs="Times New Roman"/>
          <w:color w:val="000000"/>
          <w:kern w:val="0"/>
          <w:sz w:val="32"/>
          <w:szCs w:val="32"/>
          <w:lang w:val="en-US"/>
        </w:rPr>
        <w:t>。纳入财政预算管理的“三公“经费，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hint="default" w:ascii="楷体_GB2312" w:hAnsi="楷体_GB2312" w:eastAsia="楷体_GB2312" w:cs="楷体_GB2312"/>
          <w:b/>
          <w:bCs/>
          <w:i w:val="0"/>
          <w:iCs w:val="0"/>
          <w:color w:val="000000"/>
          <w:kern w:val="2"/>
          <w:sz w:val="32"/>
          <w:szCs w:val="32"/>
          <w:highlight w:val="none"/>
          <w:shd w:val="clear" w:color="FFFFFF" w:fill="FFFFFF"/>
          <w:vertAlign w:val="baseline"/>
          <w:lang w:val="en-US" w:eastAsia="zh-CN" w:bidi="ar-SA"/>
        </w:rPr>
        <w:t>基本支出。</w:t>
      </w:r>
      <w:r>
        <w:rPr>
          <w:rFonts w:hint="default"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指为保障机构正常运转、完成日常工作任务而发生的人员支出和公用支出。</w:t>
      </w:r>
    </w:p>
    <w:p>
      <w:pPr>
        <w:pStyle w:val="14"/>
        <w:ind w:firstLine="640" w:firstLineChars="200"/>
        <w:rPr>
          <w:rFonts w:ascii="Times New Roman" w:hAnsi="Times New Roman" w:eastAsia="宋体" w:cs="Times New Roman"/>
          <w:sz w:val="32"/>
          <w:szCs w:val="32"/>
        </w:rPr>
      </w:pPr>
      <w:r>
        <w:rPr>
          <w:rFonts w:ascii="Times New Roman" w:hAnsi="Times New Roman" w:eastAsia="宋体" w:cs="Times New Roman"/>
          <w:sz w:val="32"/>
          <w:szCs w:val="32"/>
          <w:lang w:val="en-US"/>
        </w:rPr>
        <w:t>四、</w:t>
      </w:r>
      <w:r>
        <w:rPr>
          <w:rFonts w:hint="default" w:ascii="楷体_GB2312" w:hAnsi="楷体_GB2312" w:eastAsia="楷体_GB2312" w:cs="楷体_GB2312"/>
          <w:b/>
          <w:bCs/>
          <w:i w:val="0"/>
          <w:iCs w:val="0"/>
          <w:color w:val="000000"/>
          <w:kern w:val="2"/>
          <w:sz w:val="32"/>
          <w:szCs w:val="32"/>
          <w:highlight w:val="none"/>
          <w:shd w:val="clear" w:color="FFFFFF" w:fill="FFFFFF"/>
          <w:vertAlign w:val="baseline"/>
          <w:lang w:val="en-US" w:eastAsia="zh-CN" w:bidi="ar-SA"/>
        </w:rPr>
        <w:t>项目支出。</w:t>
      </w:r>
      <w:r>
        <w:rPr>
          <w:rFonts w:hint="default"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指在基本支出之外为完成特定行政任务和事业发展目标所发生的支出。</w:t>
      </w:r>
    </w:p>
    <w:p>
      <w:pPr>
        <w:pStyle w:val="14"/>
        <w:jc w:val="center"/>
        <w:rPr>
          <w:rFonts w:ascii="Times New Roman" w:hAnsi="Times New Roman" w:cs="Times New Roman"/>
          <w:sz w:val="72"/>
          <w:szCs w:val="72"/>
        </w:rPr>
      </w:pPr>
      <w:bookmarkStart w:id="3" w:name="_GoBack"/>
      <w:bookmarkEnd w:id="3"/>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4"/>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896818-8FBF-43B3-915E-CBF48C68B4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E29B868-F2E4-4AD6-9F6F-466AD92BDE29}"/>
  </w:font>
  <w:font w:name="方正小标宋_GBK">
    <w:panose1 w:val="02000000000000000000"/>
    <w:charset w:val="86"/>
    <w:family w:val="script"/>
    <w:pitch w:val="default"/>
    <w:sig w:usb0="A00002BF" w:usb1="38CF7CFA" w:usb2="00082016" w:usb3="00000000" w:csb0="00040001" w:csb1="00000000"/>
    <w:embedRegular r:id="rId3" w:fontKey="{F25C386E-6842-42A0-8E86-50F5DA7E12CC}"/>
  </w:font>
  <w:font w:name="仿宋_GB2312">
    <w:panose1 w:val="02010609030101010101"/>
    <w:charset w:val="86"/>
    <w:family w:val="modern"/>
    <w:pitch w:val="default"/>
    <w:sig w:usb0="00000001" w:usb1="080E0000" w:usb2="00000000" w:usb3="00000000" w:csb0="00040000" w:csb1="00000000"/>
    <w:embedRegular r:id="rId4" w:fontKey="{5086772A-E52F-4520-82AE-6739C9C2A098}"/>
  </w:font>
  <w:font w:name="仿宋">
    <w:panose1 w:val="02010609060101010101"/>
    <w:charset w:val="86"/>
    <w:family w:val="auto"/>
    <w:pitch w:val="default"/>
    <w:sig w:usb0="800002BF" w:usb1="38CF7CFA" w:usb2="00000016" w:usb3="00000000" w:csb0="00040001" w:csb1="00000000"/>
    <w:embedRegular r:id="rId5" w:fontKey="{DA4EFE3D-9E4A-41BA-A147-43E448896209}"/>
  </w:font>
  <w:font w:name="华文中宋">
    <w:altName w:val="宋体"/>
    <w:panose1 w:val="02010600040101010101"/>
    <w:charset w:val="86"/>
    <w:family w:val="auto"/>
    <w:pitch w:val="default"/>
    <w:sig w:usb0="00000000" w:usb1="00000000" w:usb2="00000010" w:usb3="00000000" w:csb0="0004009F" w:csb1="00000000"/>
    <w:embedRegular r:id="rId6" w:fontKey="{3A93ADDD-86BE-4FF2-9353-C5137EDAF3B3}"/>
  </w:font>
  <w:font w:name="楷体_GB2312">
    <w:panose1 w:val="02010609030101010101"/>
    <w:charset w:val="86"/>
    <w:family w:val="modern"/>
    <w:pitch w:val="default"/>
    <w:sig w:usb0="00000001" w:usb1="080E0000" w:usb2="00000000" w:usb3="00000000" w:csb0="00040000" w:csb1="00000000"/>
    <w:embedRegular r:id="rId7" w:fontKey="{95BF3355-3453-4A32-86C5-81D4C7C97008}"/>
  </w:font>
  <w:font w:name="楷体">
    <w:panose1 w:val="02010609060101010101"/>
    <w:charset w:val="86"/>
    <w:family w:val="modern"/>
    <w:pitch w:val="default"/>
    <w:sig w:usb0="800002BF" w:usb1="38CF7CFA" w:usb2="00000016" w:usb3="00000000" w:csb0="00040001" w:csb1="00000000"/>
    <w:embedRegular r:id="rId8" w:fontKey="{A7D2EE0B-E9F6-44AF-90B5-95A7AFCC6A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0C6CF6"/>
    <w:multiLevelType w:val="singleLevel"/>
    <w:tmpl w:val="E30C6CF6"/>
    <w:lvl w:ilvl="0" w:tentative="0">
      <w:start w:val="7"/>
      <w:numFmt w:val="chineseCounting"/>
      <w:suff w:val="nothing"/>
      <w:lvlText w:val="%1、"/>
      <w:lvlJc w:val="left"/>
      <w:rPr>
        <w:rFonts w:hint="eastAsia"/>
      </w:rPr>
    </w:lvl>
  </w:abstractNum>
  <w:abstractNum w:abstractNumId="1">
    <w:nsid w:val="090ADF05"/>
    <w:multiLevelType w:val="singleLevel"/>
    <w:tmpl w:val="090ADF05"/>
    <w:lvl w:ilvl="0" w:tentative="0">
      <w:start w:val="14"/>
      <w:numFmt w:val="chineseCounting"/>
      <w:suff w:val="nothing"/>
      <w:lvlText w:val="%1、"/>
      <w:lvlJc w:val="left"/>
      <w:rPr>
        <w:rFonts w:hint="eastAsia"/>
      </w:rPr>
    </w:lvl>
  </w:abstractNum>
  <w:abstractNum w:abstractNumId="2">
    <w:nsid w:val="1CC5AE21"/>
    <w:multiLevelType w:val="singleLevel"/>
    <w:tmpl w:val="1CC5AE21"/>
    <w:lvl w:ilvl="0" w:tentative="0">
      <w:start w:val="3"/>
      <w:numFmt w:val="decimal"/>
      <w:suff w:val="nothing"/>
      <w:lvlText w:val="%1、"/>
      <w:lvlJc w:val="left"/>
    </w:lvl>
  </w:abstractNum>
  <w:abstractNum w:abstractNumId="3">
    <w:nsid w:val="71976A1C"/>
    <w:multiLevelType w:val="singleLevel"/>
    <w:tmpl w:val="71976A1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CF495D"/>
    <w:rsid w:val="00D148C6"/>
    <w:rsid w:val="00D17A8A"/>
    <w:rsid w:val="00D415BA"/>
    <w:rsid w:val="00D63780"/>
    <w:rsid w:val="00D644EE"/>
    <w:rsid w:val="00D704DB"/>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B1AAC"/>
    <w:rsid w:val="017C22CA"/>
    <w:rsid w:val="01EC72D6"/>
    <w:rsid w:val="01F33B73"/>
    <w:rsid w:val="02B67DFB"/>
    <w:rsid w:val="02F72AEC"/>
    <w:rsid w:val="03030F3E"/>
    <w:rsid w:val="036F01E2"/>
    <w:rsid w:val="03CA5408"/>
    <w:rsid w:val="047F0FEB"/>
    <w:rsid w:val="049E6637"/>
    <w:rsid w:val="04C64263"/>
    <w:rsid w:val="05920807"/>
    <w:rsid w:val="0594368B"/>
    <w:rsid w:val="05D94D4B"/>
    <w:rsid w:val="06C80E13"/>
    <w:rsid w:val="08AF28A6"/>
    <w:rsid w:val="08CB3FED"/>
    <w:rsid w:val="08DB66CD"/>
    <w:rsid w:val="0AA305CC"/>
    <w:rsid w:val="0AD658F0"/>
    <w:rsid w:val="0BF8723A"/>
    <w:rsid w:val="0CBC7EF9"/>
    <w:rsid w:val="0CE84687"/>
    <w:rsid w:val="0E61482B"/>
    <w:rsid w:val="0EFA0BCC"/>
    <w:rsid w:val="0F352347"/>
    <w:rsid w:val="0F4F53BA"/>
    <w:rsid w:val="0F916077"/>
    <w:rsid w:val="103A5F7A"/>
    <w:rsid w:val="11B22CAA"/>
    <w:rsid w:val="11B36778"/>
    <w:rsid w:val="12C94CFF"/>
    <w:rsid w:val="130B7682"/>
    <w:rsid w:val="13433B2C"/>
    <w:rsid w:val="144902C9"/>
    <w:rsid w:val="16367C4C"/>
    <w:rsid w:val="172649F5"/>
    <w:rsid w:val="17C32EBA"/>
    <w:rsid w:val="1845015E"/>
    <w:rsid w:val="18894B81"/>
    <w:rsid w:val="1ABF2E1C"/>
    <w:rsid w:val="1B187A0D"/>
    <w:rsid w:val="1C1213A6"/>
    <w:rsid w:val="1CEE1186"/>
    <w:rsid w:val="1D97DEFF"/>
    <w:rsid w:val="1DBD7279"/>
    <w:rsid w:val="1DC84C4C"/>
    <w:rsid w:val="1DFF72E5"/>
    <w:rsid w:val="1E4F7D65"/>
    <w:rsid w:val="1EFC6F07"/>
    <w:rsid w:val="1F203891"/>
    <w:rsid w:val="1F821F99"/>
    <w:rsid w:val="20631D11"/>
    <w:rsid w:val="20783067"/>
    <w:rsid w:val="20A46298"/>
    <w:rsid w:val="21697C63"/>
    <w:rsid w:val="225B49EE"/>
    <w:rsid w:val="229C4838"/>
    <w:rsid w:val="240D251F"/>
    <w:rsid w:val="248D7571"/>
    <w:rsid w:val="26955FF5"/>
    <w:rsid w:val="27044573"/>
    <w:rsid w:val="28FC1CB0"/>
    <w:rsid w:val="2A1A518F"/>
    <w:rsid w:val="2B8E43CA"/>
    <w:rsid w:val="2C4121AE"/>
    <w:rsid w:val="2C987FDB"/>
    <w:rsid w:val="2CF72224"/>
    <w:rsid w:val="2F1018EA"/>
    <w:rsid w:val="2FDF85B8"/>
    <w:rsid w:val="2FFFEE04"/>
    <w:rsid w:val="307C5459"/>
    <w:rsid w:val="30AA1D95"/>
    <w:rsid w:val="313E1763"/>
    <w:rsid w:val="32843FCC"/>
    <w:rsid w:val="33BF2294"/>
    <w:rsid w:val="340407FD"/>
    <w:rsid w:val="34981B0D"/>
    <w:rsid w:val="34DB7414"/>
    <w:rsid w:val="34DF85B0"/>
    <w:rsid w:val="34ED654D"/>
    <w:rsid w:val="364517E5"/>
    <w:rsid w:val="36866002"/>
    <w:rsid w:val="384C78C1"/>
    <w:rsid w:val="384D1450"/>
    <w:rsid w:val="389C112D"/>
    <w:rsid w:val="38A70B87"/>
    <w:rsid w:val="3B49419B"/>
    <w:rsid w:val="3B8F36BC"/>
    <w:rsid w:val="3BC12485"/>
    <w:rsid w:val="3BD11425"/>
    <w:rsid w:val="3C230512"/>
    <w:rsid w:val="3CBE5E4E"/>
    <w:rsid w:val="3E900306"/>
    <w:rsid w:val="3F591CF6"/>
    <w:rsid w:val="40FA6487"/>
    <w:rsid w:val="41CD7DEA"/>
    <w:rsid w:val="41D35EF7"/>
    <w:rsid w:val="42A211AB"/>
    <w:rsid w:val="43C52FC0"/>
    <w:rsid w:val="454F5136"/>
    <w:rsid w:val="46A44F19"/>
    <w:rsid w:val="47E66258"/>
    <w:rsid w:val="482D6D54"/>
    <w:rsid w:val="48AF350A"/>
    <w:rsid w:val="48B22225"/>
    <w:rsid w:val="491FF225"/>
    <w:rsid w:val="4AEE3CA1"/>
    <w:rsid w:val="4BD50ABE"/>
    <w:rsid w:val="4C0664B7"/>
    <w:rsid w:val="4C3C05B3"/>
    <w:rsid w:val="4C643B5B"/>
    <w:rsid w:val="4D587B50"/>
    <w:rsid w:val="4E797E26"/>
    <w:rsid w:val="4F710D4E"/>
    <w:rsid w:val="4FFD214C"/>
    <w:rsid w:val="50537E7C"/>
    <w:rsid w:val="50E417A7"/>
    <w:rsid w:val="51A27694"/>
    <w:rsid w:val="525A65B4"/>
    <w:rsid w:val="533D14C2"/>
    <w:rsid w:val="53584F64"/>
    <w:rsid w:val="53621178"/>
    <w:rsid w:val="53C31933"/>
    <w:rsid w:val="53F87A10"/>
    <w:rsid w:val="541D1161"/>
    <w:rsid w:val="54C34019"/>
    <w:rsid w:val="55760C1C"/>
    <w:rsid w:val="557A3CDC"/>
    <w:rsid w:val="56093396"/>
    <w:rsid w:val="564C5F69"/>
    <w:rsid w:val="5777D4F5"/>
    <w:rsid w:val="57D2297B"/>
    <w:rsid w:val="58CE0D1E"/>
    <w:rsid w:val="594C2C26"/>
    <w:rsid w:val="59AD080A"/>
    <w:rsid w:val="59DD8326"/>
    <w:rsid w:val="5B194B3A"/>
    <w:rsid w:val="5B405BEA"/>
    <w:rsid w:val="5BD95646"/>
    <w:rsid w:val="5C204FD9"/>
    <w:rsid w:val="5C6C6A9E"/>
    <w:rsid w:val="5CB70662"/>
    <w:rsid w:val="5CF61BF1"/>
    <w:rsid w:val="5D52255C"/>
    <w:rsid w:val="5DEF592A"/>
    <w:rsid w:val="5E4C4C10"/>
    <w:rsid w:val="5E84084D"/>
    <w:rsid w:val="5E956D5C"/>
    <w:rsid w:val="5FC6BB1E"/>
    <w:rsid w:val="5FF720F1"/>
    <w:rsid w:val="61276909"/>
    <w:rsid w:val="634E7808"/>
    <w:rsid w:val="63E9605A"/>
    <w:rsid w:val="64173023"/>
    <w:rsid w:val="65CD52BB"/>
    <w:rsid w:val="66975E84"/>
    <w:rsid w:val="67FF5C0B"/>
    <w:rsid w:val="68607A50"/>
    <w:rsid w:val="68F77E6E"/>
    <w:rsid w:val="6925502B"/>
    <w:rsid w:val="69490D88"/>
    <w:rsid w:val="695925F6"/>
    <w:rsid w:val="69886D18"/>
    <w:rsid w:val="6A403639"/>
    <w:rsid w:val="6AAB6187"/>
    <w:rsid w:val="6E1F12E6"/>
    <w:rsid w:val="6EFC0924"/>
    <w:rsid w:val="6FB74722"/>
    <w:rsid w:val="6FEF8B7E"/>
    <w:rsid w:val="713A123F"/>
    <w:rsid w:val="71A6591B"/>
    <w:rsid w:val="72867D71"/>
    <w:rsid w:val="72C32CE8"/>
    <w:rsid w:val="737D59BA"/>
    <w:rsid w:val="748E01D1"/>
    <w:rsid w:val="750E3575"/>
    <w:rsid w:val="758E6645"/>
    <w:rsid w:val="76544B51"/>
    <w:rsid w:val="76A1185A"/>
    <w:rsid w:val="76F167EA"/>
    <w:rsid w:val="770B4961"/>
    <w:rsid w:val="7733254E"/>
    <w:rsid w:val="77C37683"/>
    <w:rsid w:val="78AD4711"/>
    <w:rsid w:val="78C345E4"/>
    <w:rsid w:val="793F5645"/>
    <w:rsid w:val="796926C2"/>
    <w:rsid w:val="79D19834"/>
    <w:rsid w:val="79FF515B"/>
    <w:rsid w:val="7AD52086"/>
    <w:rsid w:val="7AE170FF"/>
    <w:rsid w:val="7B66328B"/>
    <w:rsid w:val="7BAA2B88"/>
    <w:rsid w:val="7C6202F9"/>
    <w:rsid w:val="7DFC533E"/>
    <w:rsid w:val="7E2C0A67"/>
    <w:rsid w:val="7E5E47BF"/>
    <w:rsid w:val="7E9E1962"/>
    <w:rsid w:val="7E9F11B4"/>
    <w:rsid w:val="7F37EC1E"/>
    <w:rsid w:val="7F7DCD9D"/>
    <w:rsid w:val="7F970A6F"/>
    <w:rsid w:val="7F983D01"/>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6">
    <w:name w:val="Body Text"/>
    <w:basedOn w:val="1"/>
    <w:next w:val="5"/>
    <w:qFormat/>
    <w:uiPriority w:val="0"/>
    <w:pPr>
      <w:spacing w:after="120"/>
    </w:p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0"/>
    <w:link w:val="9"/>
    <w:qFormat/>
    <w:uiPriority w:val="99"/>
    <w:rPr>
      <w:sz w:val="18"/>
      <w:szCs w:val="18"/>
    </w:rPr>
  </w:style>
  <w:style w:type="character" w:customStyle="1" w:styleId="13">
    <w:name w:val="页脚 Char"/>
    <w:basedOn w:val="10"/>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7"/>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1481</Words>
  <Characters>1671</Characters>
  <Lines>69</Lines>
  <Paragraphs>19</Paragraphs>
  <TotalTime>0</TotalTime>
  <ScaleCrop>false</ScaleCrop>
  <LinksUpToDate>false</LinksUpToDate>
  <CharactersWithSpaces>2101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2025-09-18T02:19:39Z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eyJoZGlkIjoiZTAwNDg3NDMwNGJlOGYyMDYzM2MxNDUyNGMzZjk4OTAifQ==</vt:lpwstr>
  </property>
</Properties>
</file>