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B19AF">
      <w:pPr>
        <w:pStyle w:val="13"/>
        <w:jc w:val="both"/>
        <w:rPr>
          <w:rFonts w:hAnsi="黑体"/>
          <w:sz w:val="36"/>
          <w:szCs w:val="36"/>
        </w:rPr>
      </w:pPr>
      <w:bookmarkStart w:id="3" w:name="_GoBack"/>
      <w:bookmarkEnd w:id="3"/>
      <w:r>
        <w:rPr>
          <w:rFonts w:hint="eastAsia" w:hAnsi="黑体"/>
          <w:sz w:val="36"/>
          <w:szCs w:val="36"/>
        </w:rPr>
        <w:t>附件1</w:t>
      </w:r>
    </w:p>
    <w:p w14:paraId="6FE252DD">
      <w:pPr>
        <w:pStyle w:val="13"/>
        <w:jc w:val="center"/>
        <w:rPr>
          <w:rFonts w:ascii="Times New Roman" w:hAnsi="Times New Roman" w:cs="Times New Roman"/>
          <w:sz w:val="56"/>
          <w:szCs w:val="56"/>
        </w:rPr>
      </w:pPr>
    </w:p>
    <w:p w14:paraId="432B0298">
      <w:pPr>
        <w:pStyle w:val="13"/>
        <w:jc w:val="center"/>
        <w:rPr>
          <w:rFonts w:ascii="Times New Roman" w:hAnsi="Times New Roman" w:cs="Times New Roman"/>
          <w:sz w:val="84"/>
          <w:szCs w:val="84"/>
        </w:rPr>
      </w:pPr>
    </w:p>
    <w:p w14:paraId="4309B6B3">
      <w:pPr>
        <w:pStyle w:val="13"/>
        <w:jc w:val="center"/>
        <w:rPr>
          <w:rFonts w:ascii="Times New Roman" w:hAnsi="Times New Roman" w:cs="Times New Roman"/>
          <w:sz w:val="84"/>
          <w:szCs w:val="84"/>
        </w:rPr>
      </w:pPr>
    </w:p>
    <w:p w14:paraId="3B4C386A">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29928D3">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蓝山县太平圩镇卫生院</w:t>
      </w:r>
      <w:r>
        <w:rPr>
          <w:rFonts w:ascii="Times New Roman" w:hAnsi="Times New Roman" w:eastAsia="方正小标宋简体" w:cs="Times New Roman"/>
          <w:sz w:val="72"/>
          <w:szCs w:val="72"/>
        </w:rPr>
        <w:t>部门决算</w:t>
      </w:r>
    </w:p>
    <w:p w14:paraId="06210ED3">
      <w:pPr>
        <w:pStyle w:val="13"/>
        <w:jc w:val="center"/>
        <w:rPr>
          <w:rFonts w:ascii="Times New Roman" w:hAnsi="Times New Roman" w:eastAsia="方正小标宋_GBK" w:cs="Times New Roman"/>
          <w:sz w:val="56"/>
          <w:szCs w:val="56"/>
        </w:rPr>
      </w:pPr>
    </w:p>
    <w:p w14:paraId="6A5DEB63">
      <w:pPr>
        <w:pStyle w:val="13"/>
        <w:jc w:val="center"/>
        <w:rPr>
          <w:rFonts w:ascii="Times New Roman" w:hAnsi="Times New Roman" w:cs="Times New Roman"/>
          <w:sz w:val="56"/>
          <w:szCs w:val="56"/>
        </w:rPr>
      </w:pPr>
    </w:p>
    <w:p w14:paraId="2C1DE5DF">
      <w:pPr>
        <w:pStyle w:val="13"/>
        <w:rPr>
          <w:rFonts w:ascii="Times New Roman" w:hAnsi="Times New Roman" w:cs="Times New Roman"/>
          <w:sz w:val="56"/>
          <w:szCs w:val="56"/>
        </w:rPr>
      </w:pPr>
    </w:p>
    <w:p w14:paraId="0207D72A">
      <w:pPr>
        <w:pStyle w:val="13"/>
        <w:jc w:val="center"/>
        <w:rPr>
          <w:rFonts w:ascii="Times New Roman" w:hAnsi="Times New Roman" w:cs="Times New Roman"/>
          <w:sz w:val="32"/>
          <w:szCs w:val="32"/>
        </w:rPr>
      </w:pPr>
    </w:p>
    <w:p w14:paraId="6E3F4CD7">
      <w:pPr>
        <w:pStyle w:val="13"/>
        <w:jc w:val="center"/>
        <w:rPr>
          <w:rFonts w:ascii="Times New Roman" w:hAnsi="Times New Roman" w:cs="Times New Roman"/>
          <w:sz w:val="32"/>
          <w:szCs w:val="32"/>
        </w:rPr>
      </w:pPr>
    </w:p>
    <w:p w14:paraId="0BFC63B3">
      <w:pPr>
        <w:pStyle w:val="13"/>
        <w:jc w:val="center"/>
        <w:rPr>
          <w:rFonts w:ascii="Times New Roman" w:hAnsi="Times New Roman" w:cs="Times New Roman"/>
          <w:sz w:val="32"/>
          <w:szCs w:val="32"/>
        </w:rPr>
      </w:pPr>
    </w:p>
    <w:p w14:paraId="042B04CB">
      <w:pPr>
        <w:pStyle w:val="13"/>
        <w:jc w:val="center"/>
        <w:rPr>
          <w:rFonts w:ascii="Times New Roman" w:hAnsi="Times New Roman" w:cs="Times New Roman"/>
          <w:sz w:val="32"/>
          <w:szCs w:val="32"/>
        </w:rPr>
      </w:pPr>
    </w:p>
    <w:p w14:paraId="3A9BAEB1">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633CAE51">
      <w:pPr>
        <w:pStyle w:val="13"/>
        <w:spacing w:line="600" w:lineRule="exact"/>
        <w:jc w:val="both"/>
        <w:rPr>
          <w:rFonts w:ascii="Times New Roman" w:hAnsi="Times New Roman" w:cs="Times New Roman"/>
          <w:b/>
          <w:sz w:val="36"/>
          <w:szCs w:val="28"/>
        </w:rPr>
      </w:pPr>
    </w:p>
    <w:p w14:paraId="1A4D1DF7">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BF3E0CF">
      <w:pPr>
        <w:pStyle w:val="13"/>
        <w:spacing w:line="600" w:lineRule="exact"/>
        <w:jc w:val="center"/>
        <w:rPr>
          <w:rFonts w:ascii="Times New Roman" w:hAnsi="Times New Roman" w:cs="Times New Roman"/>
          <w:b/>
          <w:sz w:val="36"/>
          <w:szCs w:val="28"/>
        </w:rPr>
      </w:pPr>
    </w:p>
    <w:p w14:paraId="737CE2F0">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eastAsia="zh-CN"/>
        </w:rPr>
        <w:t>蓝山县太平圩镇卫生院</w:t>
      </w:r>
      <w:r>
        <w:rPr>
          <w:rFonts w:ascii="Times New Roman" w:hAnsi="Times New Roman" w:cs="Times New Roman"/>
          <w:bCs/>
          <w:sz w:val="32"/>
          <w:szCs w:val="32"/>
        </w:rPr>
        <w:t>部门概况</w:t>
      </w:r>
    </w:p>
    <w:p w14:paraId="53367D3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64D4FC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8CE576D">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2317B15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90A687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6377D7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895C7D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29D154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ED2B03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614923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0C3517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A69878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6B3132F">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492650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BC8FB31">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9B68B3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333E04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405706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6FBD720">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6396480B">
      <w:pPr>
        <w:autoSpaceDE w:val="0"/>
        <w:autoSpaceDN w:val="0"/>
        <w:adjustRightInd w:val="0"/>
        <w:spacing w:line="600" w:lineRule="exact"/>
        <w:jc w:val="left"/>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六、一般公共预算财政拨款基本支出决算情况说明</w:t>
      </w:r>
    </w:p>
    <w:p w14:paraId="2A465C99">
      <w:pPr>
        <w:autoSpaceDE w:val="0"/>
        <w:autoSpaceDN w:val="0"/>
        <w:adjustRightInd w:val="0"/>
        <w:spacing w:line="600" w:lineRule="exact"/>
        <w:jc w:val="left"/>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七、财政拨款“三公”经费支出决算情况说明</w:t>
      </w:r>
    </w:p>
    <w:p w14:paraId="76C7CC38">
      <w:pPr>
        <w:autoSpaceDE w:val="0"/>
        <w:autoSpaceDN w:val="0"/>
        <w:adjustRightInd w:val="0"/>
        <w:spacing w:line="600" w:lineRule="exact"/>
        <w:jc w:val="left"/>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八、政府性基金预算收入支出决算情况</w:t>
      </w:r>
    </w:p>
    <w:p w14:paraId="18FF4345">
      <w:pPr>
        <w:autoSpaceDE w:val="0"/>
        <w:autoSpaceDN w:val="0"/>
        <w:adjustRightInd w:val="0"/>
        <w:spacing w:line="600" w:lineRule="exact"/>
        <w:jc w:val="left"/>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九、关于机关运行经费支出说明</w:t>
      </w:r>
    </w:p>
    <w:p w14:paraId="017E175B">
      <w:pPr>
        <w:autoSpaceDE w:val="0"/>
        <w:autoSpaceDN w:val="0"/>
        <w:adjustRightInd w:val="0"/>
        <w:spacing w:line="600" w:lineRule="exact"/>
        <w:jc w:val="left"/>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十、一般性支出情况说明</w:t>
      </w:r>
    </w:p>
    <w:p w14:paraId="659E5B14">
      <w:pPr>
        <w:autoSpaceDE w:val="0"/>
        <w:autoSpaceDN w:val="0"/>
        <w:adjustRightInd w:val="0"/>
        <w:spacing w:line="600" w:lineRule="exact"/>
        <w:jc w:val="left"/>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十一、关于政府采购支出说明</w:t>
      </w:r>
    </w:p>
    <w:p w14:paraId="70FF4F69">
      <w:pPr>
        <w:pStyle w:val="13"/>
        <w:overflowPunct w:val="0"/>
        <w:autoSpaceDE/>
        <w:autoSpaceDN/>
        <w:spacing w:line="600" w:lineRule="exact"/>
        <w:jc w:val="both"/>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十二、关于国有资产占用情况说明</w:t>
      </w:r>
    </w:p>
    <w:p w14:paraId="15305ACC">
      <w:pPr>
        <w:pStyle w:val="13"/>
        <w:overflowPunct w:val="0"/>
        <w:autoSpaceDE/>
        <w:autoSpaceDN/>
        <w:spacing w:line="600" w:lineRule="exact"/>
        <w:jc w:val="both"/>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eastAsia="zh-CN"/>
        </w:rPr>
        <w:t>十三、关于</w:t>
      </w:r>
      <w:r>
        <w:rPr>
          <w:rFonts w:hint="eastAsia" w:ascii="Times New Roman" w:hAnsi="Times New Roman" w:eastAsia="仿宋_GB2312" w:cs="Times New Roman"/>
          <w:b w:val="0"/>
          <w:bCs w:val="0"/>
          <w:sz w:val="32"/>
          <w:szCs w:val="32"/>
          <w:lang w:val="en-US" w:eastAsia="zh-CN"/>
        </w:rPr>
        <w:t>2024年度预算绩效情况的说明</w:t>
      </w:r>
    </w:p>
    <w:p w14:paraId="46513947">
      <w:pPr>
        <w:pStyle w:val="13"/>
        <w:spacing w:line="600" w:lineRule="exact"/>
        <w:rPr>
          <w:rFonts w:ascii="Times New Roman" w:hAnsi="Times New Roman" w:eastAsia="仿宋_GB2312" w:cs="Times New Roman"/>
          <w:b w:val="0"/>
          <w:bCs w:val="0"/>
          <w:sz w:val="32"/>
          <w:szCs w:val="32"/>
        </w:rPr>
      </w:pPr>
    </w:p>
    <w:p w14:paraId="41941A7B">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FA00151">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678781B">
      <w:pPr>
        <w:pStyle w:val="13"/>
        <w:spacing w:line="600" w:lineRule="exact"/>
        <w:rPr>
          <w:rFonts w:ascii="Times New Roman" w:hAnsi="Times New Roman" w:cs="Times New Roman"/>
          <w:bCs/>
          <w:sz w:val="28"/>
          <w:szCs w:val="28"/>
        </w:rPr>
      </w:pPr>
    </w:p>
    <w:p w14:paraId="192892D6">
      <w:pPr>
        <w:jc w:val="center"/>
        <w:rPr>
          <w:rFonts w:ascii="Times New Roman" w:hAnsi="Times New Roman" w:cs="Times New Roman"/>
          <w:sz w:val="72"/>
          <w:szCs w:val="72"/>
        </w:rPr>
      </w:pPr>
    </w:p>
    <w:p w14:paraId="4F68AF36">
      <w:pPr>
        <w:jc w:val="center"/>
        <w:rPr>
          <w:rFonts w:ascii="Times New Roman" w:hAnsi="Times New Roman" w:cs="Times New Roman"/>
          <w:sz w:val="72"/>
          <w:szCs w:val="72"/>
        </w:rPr>
      </w:pPr>
    </w:p>
    <w:p w14:paraId="1A062D6B">
      <w:pPr>
        <w:jc w:val="center"/>
        <w:rPr>
          <w:rFonts w:ascii="Times New Roman" w:hAnsi="Times New Roman" w:cs="Times New Roman"/>
          <w:sz w:val="72"/>
          <w:szCs w:val="72"/>
        </w:rPr>
      </w:pPr>
    </w:p>
    <w:p w14:paraId="0520C9BE">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03ED8BA">
      <w:pPr>
        <w:rPr>
          <w:rFonts w:ascii="Times New Roman" w:hAnsi="Times New Roman" w:eastAsia="方正小标宋_GBK" w:cs="Times New Roman"/>
          <w:sz w:val="72"/>
          <w:szCs w:val="72"/>
        </w:rPr>
      </w:pPr>
    </w:p>
    <w:p w14:paraId="383349A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3B22586">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蓝山县太平圩镇卫生院</w:t>
      </w:r>
      <w:r>
        <w:rPr>
          <w:rFonts w:ascii="Times New Roman" w:hAnsi="Times New Roman" w:eastAsia="方正小标宋_GBK" w:cs="Times New Roman"/>
          <w:sz w:val="52"/>
          <w:szCs w:val="52"/>
        </w:rPr>
        <w:t>部门概况</w:t>
      </w:r>
    </w:p>
    <w:p w14:paraId="632B9240">
      <w:pPr>
        <w:pStyle w:val="2"/>
        <w:ind w:left="0" w:leftChars="0" w:firstLine="0" w:firstLineChars="0"/>
        <w:rPr>
          <w:rFonts w:ascii="Times New Roman" w:hAnsi="Times New Roman" w:cs="Times New Roman"/>
        </w:rPr>
      </w:pPr>
    </w:p>
    <w:p w14:paraId="07BDAB0C">
      <w:pPr>
        <w:widowControl/>
        <w:spacing w:line="600" w:lineRule="exact"/>
        <w:ind w:firstLine="640" w:firstLineChars="200"/>
        <w:outlineLvl w:val="1"/>
        <w:rPr>
          <w:rFonts w:hint="eastAsia" w:ascii="黑体" w:hAnsi="黑体" w:eastAsia="黑体"/>
          <w:b w:val="0"/>
          <w:bCs/>
          <w:kern w:val="0"/>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职能职责</w:t>
      </w:r>
    </w:p>
    <w:p w14:paraId="1EAE559A">
      <w:pPr>
        <w:widowControl/>
        <w:spacing w:line="600" w:lineRule="exact"/>
        <w:ind w:firstLine="627" w:firstLineChars="196"/>
        <w:jc w:val="left"/>
        <w:rPr>
          <w:rFonts w:eastAsia="仿宋_GB2312"/>
          <w:sz w:val="32"/>
          <w:szCs w:val="32"/>
          <w:highlight w:val="none"/>
        </w:rPr>
      </w:pPr>
      <w:r>
        <w:rPr>
          <w:rFonts w:hint="eastAsia" w:eastAsia="仿宋_GB2312"/>
          <w:sz w:val="32"/>
          <w:szCs w:val="32"/>
          <w:highlight w:val="none"/>
        </w:rPr>
        <w:t>为人民身体健康提供医疗与预防保健服务。常见病多发病诊治与护理、院前急救、巡回医疗、恢复期病人康复治疗与护理、预防保健、卫生技术人员培训、初级卫生保健规划实施、合作医疗组织与管理、卫生监督与卫生信息管理。</w:t>
      </w:r>
    </w:p>
    <w:p w14:paraId="46010A3E">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14:paraId="6BDA0F7A">
      <w:pPr>
        <w:widowControl/>
        <w:spacing w:line="600" w:lineRule="exact"/>
        <w:ind w:firstLine="630" w:firstLineChars="196"/>
        <w:jc w:val="left"/>
        <w:rPr>
          <w:rFonts w:hint="default" w:eastAsia="仿宋_GB2312"/>
          <w:sz w:val="32"/>
          <w:szCs w:val="32"/>
          <w:highlight w:val="yellow"/>
          <w:lang w:val="en-US" w:eastAsia="zh-CN"/>
        </w:rPr>
      </w:pPr>
      <w:r>
        <w:rPr>
          <w:rFonts w:hint="eastAsia" w:ascii="楷体_GB2312" w:hAnsi="宋体" w:eastAsia="楷体_GB2312"/>
          <w:b/>
          <w:bCs/>
          <w:kern w:val="0"/>
          <w:sz w:val="32"/>
          <w:szCs w:val="32"/>
        </w:rPr>
        <w:t>（一）内设机构设置。</w:t>
      </w:r>
      <w:r>
        <w:rPr>
          <w:rFonts w:hint="eastAsia" w:eastAsia="仿宋_GB2312"/>
          <w:sz w:val="32"/>
          <w:szCs w:val="32"/>
          <w:highlight w:val="none"/>
          <w:lang w:eastAsia="zh-CN"/>
        </w:rPr>
        <w:t>蓝山县太坪圩镇卫生院</w:t>
      </w:r>
      <w:r>
        <w:rPr>
          <w:rFonts w:hint="eastAsia" w:eastAsia="仿宋_GB2312"/>
          <w:sz w:val="32"/>
          <w:szCs w:val="32"/>
          <w:highlight w:val="none"/>
          <w:lang w:val="en-US" w:eastAsia="zh-CN"/>
        </w:rPr>
        <w:t>内设机构包括：</w:t>
      </w:r>
      <w:r>
        <w:rPr>
          <w:rFonts w:hint="eastAsia" w:eastAsia="仿宋_GB2312"/>
          <w:sz w:val="32"/>
          <w:szCs w:val="32"/>
          <w:highlight w:val="none"/>
          <w:lang w:eastAsia="zh-CN"/>
        </w:rPr>
        <w:t>内儿科、外科、急诊科、中医科、医技科、预防接种科、药房、高血压糖尿病门诊临床科室及公共卫生办公室，各种功能科室齐全。中医科理疗科是蓝山县太坪圩镇卫生院特色科室，在县内享有一定声誉。蓝山县太坪圩镇卫生院编制人数</w:t>
      </w:r>
      <w:r>
        <w:rPr>
          <w:rFonts w:hint="eastAsia" w:eastAsia="仿宋_GB2312"/>
          <w:sz w:val="32"/>
          <w:szCs w:val="32"/>
          <w:highlight w:val="none"/>
          <w:lang w:val="en-US" w:eastAsia="zh-CN"/>
        </w:rPr>
        <w:t>30人，</w:t>
      </w:r>
      <w:r>
        <w:rPr>
          <w:rFonts w:hint="eastAsia" w:eastAsia="仿宋_GB2312"/>
          <w:sz w:val="32"/>
          <w:szCs w:val="32"/>
          <w:highlight w:val="none"/>
          <w:lang w:eastAsia="zh-CN"/>
        </w:rPr>
        <w:t>实有人数</w:t>
      </w:r>
      <w:r>
        <w:rPr>
          <w:rFonts w:hint="eastAsia" w:eastAsia="仿宋_GB2312"/>
          <w:sz w:val="32"/>
          <w:szCs w:val="32"/>
          <w:highlight w:val="none"/>
          <w:lang w:val="en-US" w:eastAsia="zh-CN"/>
        </w:rPr>
        <w:t>35人，其中在编人员28人，临聘人员7人。</w:t>
      </w:r>
    </w:p>
    <w:p w14:paraId="4556AFF0">
      <w:pPr>
        <w:jc w:val="center"/>
        <w:rPr>
          <w:rFonts w:ascii="Times New Roman" w:hAnsi="Times New Roman" w:eastAsia="黑体" w:cs="Times New Roman"/>
          <w:sz w:val="28"/>
          <w:szCs w:val="28"/>
        </w:rPr>
      </w:pPr>
      <w:r>
        <w:rPr>
          <w:rFonts w:hint="eastAsia" w:ascii="楷体_GB2312" w:hAnsi="宋体" w:eastAsia="楷体_GB2312"/>
          <w:b/>
          <w:bCs/>
          <w:kern w:val="0"/>
          <w:sz w:val="32"/>
          <w:szCs w:val="32"/>
        </w:rPr>
        <w:t>（二）决算单位构成。</w:t>
      </w:r>
      <w:r>
        <w:rPr>
          <w:rFonts w:hint="eastAsia" w:eastAsia="仿宋_GB2312"/>
          <w:sz w:val="32"/>
          <w:szCs w:val="32"/>
        </w:rPr>
        <w:t>蓝山县</w:t>
      </w:r>
      <w:r>
        <w:rPr>
          <w:rFonts w:hint="eastAsia" w:eastAsia="仿宋_GB2312"/>
          <w:sz w:val="32"/>
          <w:szCs w:val="32"/>
          <w:lang w:eastAsia="zh-CN"/>
        </w:rPr>
        <w:t>太坪圩镇卫生院</w:t>
      </w:r>
      <w:r>
        <w:rPr>
          <w:rFonts w:eastAsia="仿宋_GB2312"/>
          <w:bCs/>
          <w:kern w:val="0"/>
          <w:sz w:val="32"/>
          <w:szCs w:val="32"/>
        </w:rPr>
        <w:t>20</w:t>
      </w:r>
      <w:r>
        <w:rPr>
          <w:rFonts w:hint="eastAsia" w:eastAsia="仿宋_GB2312"/>
          <w:bCs/>
          <w:kern w:val="0"/>
          <w:sz w:val="32"/>
          <w:szCs w:val="32"/>
          <w:lang w:val="en-US" w:eastAsia="zh-CN"/>
        </w:rPr>
        <w:t>23</w:t>
      </w:r>
      <w:r>
        <w:rPr>
          <w:rFonts w:eastAsia="仿宋_GB2312"/>
          <w:bCs/>
          <w:kern w:val="0"/>
          <w:sz w:val="32"/>
          <w:szCs w:val="32"/>
        </w:rPr>
        <w:t>年部门决算汇总公开单位构成包括：</w:t>
      </w:r>
      <w:r>
        <w:rPr>
          <w:rFonts w:hint="eastAsia" w:eastAsia="仿宋_GB2312"/>
          <w:sz w:val="32"/>
          <w:szCs w:val="32"/>
        </w:rPr>
        <w:t>蓝山县</w:t>
      </w:r>
      <w:r>
        <w:rPr>
          <w:rFonts w:hint="eastAsia" w:eastAsia="仿宋_GB2312"/>
          <w:sz w:val="32"/>
          <w:szCs w:val="32"/>
          <w:lang w:eastAsia="zh-CN"/>
        </w:rPr>
        <w:t>太坪圩镇卫生院</w:t>
      </w:r>
      <w:r>
        <w:rPr>
          <w:rFonts w:eastAsia="仿宋_GB2312"/>
          <w:bCs/>
          <w:kern w:val="0"/>
          <w:sz w:val="32"/>
          <w:szCs w:val="32"/>
        </w:rPr>
        <w:t>本级</w:t>
      </w:r>
      <w:r>
        <w:rPr>
          <w:rFonts w:hint="eastAsia" w:eastAsia="仿宋_GB2312"/>
          <w:bCs/>
          <w:kern w:val="0"/>
          <w:sz w:val="32"/>
          <w:szCs w:val="32"/>
          <w:lang w:eastAsia="zh-CN"/>
        </w:rPr>
        <w:t>。</w:t>
      </w:r>
    </w:p>
    <w:p w14:paraId="2E772036">
      <w:pPr>
        <w:jc w:val="center"/>
        <w:rPr>
          <w:rFonts w:ascii="Times New Roman" w:hAnsi="Times New Roman" w:eastAsia="黑体" w:cs="Times New Roman"/>
          <w:sz w:val="28"/>
          <w:szCs w:val="28"/>
        </w:rPr>
      </w:pPr>
    </w:p>
    <w:p w14:paraId="5914BE79">
      <w:pPr>
        <w:jc w:val="center"/>
        <w:rPr>
          <w:rFonts w:ascii="Times New Roman" w:hAnsi="Times New Roman" w:eastAsia="黑体" w:cs="Times New Roman"/>
          <w:sz w:val="28"/>
          <w:szCs w:val="28"/>
        </w:rPr>
      </w:pPr>
    </w:p>
    <w:p w14:paraId="16E218E0">
      <w:pPr>
        <w:jc w:val="center"/>
        <w:rPr>
          <w:rFonts w:ascii="Times New Roman" w:hAnsi="Times New Roman" w:eastAsia="黑体" w:cs="Times New Roman"/>
          <w:sz w:val="28"/>
          <w:szCs w:val="28"/>
        </w:rPr>
      </w:pPr>
    </w:p>
    <w:p w14:paraId="044E690F">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79F089A">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0BD0780">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5F1E668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43784C3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蓝山县太平圩镇卫生院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379E9C9E">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415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45BF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7D8326C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5332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A62F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FE70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9E50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01A7E">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AAB3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0CFD481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DC96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C19A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2AE0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3AC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1CEAB">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8CC5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075E94D0">
        <w:tblPrEx>
          <w:tblCellMar>
            <w:top w:w="0" w:type="dxa"/>
            <w:left w:w="108" w:type="dxa"/>
            <w:bottom w:w="0" w:type="dxa"/>
            <w:right w:w="108" w:type="dxa"/>
          </w:tblCellMar>
        </w:tblPrEx>
        <w:trPr>
          <w:trHeight w:val="342"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757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92AD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DF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448.02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F1CF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600F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223D">
            <w:pPr>
              <w:jc w:val="right"/>
              <w:rPr>
                <w:rFonts w:ascii="Times New Roman" w:hAnsi="Times New Roman" w:eastAsia="仿宋_GB2312" w:cs="Times New Roman"/>
                <w:color w:val="000000"/>
                <w:sz w:val="22"/>
              </w:rPr>
            </w:pPr>
          </w:p>
        </w:tc>
      </w:tr>
      <w:tr w14:paraId="15D4950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505E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351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6219">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BA7A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94E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7401">
            <w:pPr>
              <w:jc w:val="right"/>
              <w:rPr>
                <w:rFonts w:ascii="Times New Roman" w:hAnsi="Times New Roman" w:eastAsia="仿宋_GB2312" w:cs="Times New Roman"/>
                <w:color w:val="000000"/>
                <w:sz w:val="22"/>
              </w:rPr>
            </w:pPr>
          </w:p>
        </w:tc>
      </w:tr>
      <w:tr w14:paraId="002990A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02A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F39B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2EA5">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83BE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A8F3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0688">
            <w:pPr>
              <w:jc w:val="right"/>
              <w:rPr>
                <w:rFonts w:ascii="Times New Roman" w:hAnsi="Times New Roman" w:eastAsia="仿宋_GB2312" w:cs="Times New Roman"/>
                <w:color w:val="000000"/>
                <w:sz w:val="22"/>
              </w:rPr>
            </w:pPr>
          </w:p>
        </w:tc>
      </w:tr>
      <w:tr w14:paraId="412818F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1261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553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96CC">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01E7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D8E1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7643">
            <w:pPr>
              <w:jc w:val="right"/>
              <w:rPr>
                <w:rFonts w:ascii="Times New Roman" w:hAnsi="Times New Roman" w:eastAsia="仿宋_GB2312" w:cs="Times New Roman"/>
                <w:color w:val="000000"/>
                <w:sz w:val="22"/>
              </w:rPr>
            </w:pPr>
          </w:p>
        </w:tc>
      </w:tr>
      <w:tr w14:paraId="6B0160C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5947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A44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B5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343.32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D1F8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657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8FEC">
            <w:pPr>
              <w:jc w:val="right"/>
              <w:rPr>
                <w:rFonts w:ascii="Times New Roman" w:hAnsi="Times New Roman" w:eastAsia="仿宋_GB2312" w:cs="Times New Roman"/>
                <w:color w:val="000000"/>
                <w:sz w:val="22"/>
              </w:rPr>
            </w:pPr>
          </w:p>
        </w:tc>
      </w:tr>
      <w:tr w14:paraId="18AD418E">
        <w:tblPrEx>
          <w:tblCellMar>
            <w:top w:w="0" w:type="dxa"/>
            <w:left w:w="108" w:type="dxa"/>
            <w:bottom w:w="0" w:type="dxa"/>
            <w:right w:w="108" w:type="dxa"/>
          </w:tblCellMar>
        </w:tblPrEx>
        <w:trPr>
          <w:trHeight w:val="361"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817F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C3D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FD14">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400D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8ECC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7438">
            <w:pPr>
              <w:jc w:val="right"/>
              <w:rPr>
                <w:rFonts w:ascii="Times New Roman" w:hAnsi="Times New Roman" w:eastAsia="仿宋_GB2312" w:cs="Times New Roman"/>
                <w:color w:val="000000"/>
                <w:sz w:val="22"/>
              </w:rPr>
            </w:pPr>
          </w:p>
        </w:tc>
      </w:tr>
      <w:tr w14:paraId="087F2C8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B8ED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7BF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A04E">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7298">
            <w:pPr>
              <w:widowControl/>
              <w:jc w:val="left"/>
              <w:textAlignment w:val="center"/>
              <w:rPr>
                <w:rFonts w:ascii="Times New Roman" w:hAnsi="Times New Roman" w:eastAsia="仿宋_GB2312" w:cs="Times New Roman"/>
                <w:color w:val="000000"/>
                <w:sz w:val="24"/>
                <w:szCs w:val="24"/>
              </w:rPr>
            </w:pPr>
            <w:r>
              <w:rPr>
                <w:rFonts w:hint="eastAsia" w:eastAsia="仿宋_GB2312"/>
                <w:kern w:val="0"/>
                <w:szCs w:val="21"/>
              </w:rPr>
              <w:t>七、</w:t>
            </w:r>
            <w:r>
              <w:rPr>
                <w:rFonts w:hint="eastAsia" w:eastAsia="仿宋_GB2312"/>
                <w:kern w:val="0"/>
                <w:szCs w:val="21"/>
                <w:lang w:eastAsia="zh-CN"/>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EDAD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BCAC">
            <w:pPr>
              <w:jc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760.47</w:t>
            </w:r>
          </w:p>
        </w:tc>
      </w:tr>
      <w:tr w14:paraId="137FBC4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93ED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A25F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447F">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4903">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eastAsia="zh-CN"/>
              </w:rPr>
              <w:t>八、</w:t>
            </w:r>
            <w:r>
              <w:rPr>
                <w:rFonts w:hint="eastAsia" w:ascii="Times New Roman" w:hAnsi="Times New Roman" w:eastAsia="仿宋_GB2312" w:cs="Times New Roman"/>
                <w:color w:val="000000"/>
                <w:sz w:val="22"/>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CFB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FB49">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30.87</w:t>
            </w:r>
          </w:p>
        </w:tc>
      </w:tr>
      <w:tr w14:paraId="050E741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D54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D71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123F">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17F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5A23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BAA3">
            <w:pPr>
              <w:jc w:val="center"/>
              <w:rPr>
                <w:rFonts w:ascii="Times New Roman" w:hAnsi="Times New Roman" w:eastAsia="仿宋_GB2312" w:cs="Times New Roman"/>
                <w:b/>
                <w:color w:val="000000"/>
                <w:sz w:val="22"/>
              </w:rPr>
            </w:pPr>
          </w:p>
        </w:tc>
      </w:tr>
      <w:tr w14:paraId="5F0FE13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F11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FFB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209F">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B67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947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4ADD">
            <w:pPr>
              <w:jc w:val="center"/>
              <w:rPr>
                <w:rFonts w:ascii="Times New Roman" w:hAnsi="Times New Roman" w:eastAsia="仿宋_GB2312" w:cs="Times New Roman"/>
                <w:color w:val="000000"/>
                <w:sz w:val="22"/>
              </w:rPr>
            </w:pPr>
          </w:p>
        </w:tc>
      </w:tr>
      <w:tr w14:paraId="198417C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3AB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C4DC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D698">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2A1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FA19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9479">
            <w:pPr>
              <w:jc w:val="center"/>
              <w:rPr>
                <w:rFonts w:ascii="Times New Roman" w:hAnsi="Times New Roman" w:eastAsia="仿宋_GB2312" w:cs="Times New Roman"/>
                <w:color w:val="000000"/>
                <w:sz w:val="22"/>
              </w:rPr>
            </w:pPr>
          </w:p>
        </w:tc>
      </w:tr>
      <w:tr w14:paraId="2909C75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25C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161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6BFB">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CAC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D50B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DAFC">
            <w:pPr>
              <w:jc w:val="center"/>
              <w:rPr>
                <w:rFonts w:ascii="Times New Roman" w:hAnsi="Times New Roman" w:eastAsia="仿宋_GB2312" w:cs="Times New Roman"/>
                <w:color w:val="000000"/>
                <w:sz w:val="22"/>
              </w:rPr>
            </w:pPr>
          </w:p>
        </w:tc>
      </w:tr>
      <w:tr w14:paraId="3B4E655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DB7F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3F4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F0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791.34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65C1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611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7A9C">
            <w:pPr>
              <w:jc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791.34</w:t>
            </w:r>
          </w:p>
        </w:tc>
      </w:tr>
    </w:tbl>
    <w:p w14:paraId="507FD7A2">
      <w:pPr>
        <w:widowControl/>
        <w:jc w:val="left"/>
        <w:textAlignment w:val="center"/>
        <w:rPr>
          <w:rFonts w:ascii="Times New Roman" w:hAnsi="Times New Roman" w:eastAsia="宋体" w:cs="Times New Roman"/>
          <w:color w:val="000000"/>
          <w:kern w:val="0"/>
          <w:sz w:val="24"/>
          <w:szCs w:val="24"/>
        </w:rPr>
      </w:pPr>
    </w:p>
    <w:p w14:paraId="2B216D86">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117C717A">
      <w:pPr>
        <w:rPr>
          <w:rFonts w:ascii="Times New Roman" w:hAnsi="Times New Roman" w:eastAsia="华文中宋" w:cs="Times New Roman"/>
          <w:color w:val="000000"/>
          <w:sz w:val="32"/>
          <w:szCs w:val="32"/>
        </w:rPr>
      </w:pPr>
      <w:r>
        <w:br w:type="page"/>
      </w:r>
    </w:p>
    <w:p w14:paraId="61B7A05E">
      <w:pPr>
        <w:widowControl/>
        <w:spacing w:line="400" w:lineRule="exact"/>
        <w:jc w:val="center"/>
        <w:textAlignment w:val="center"/>
        <w:rPr>
          <w:rFonts w:ascii="Times New Roman" w:hAnsi="Times New Roman" w:eastAsia="黑体" w:cs="Times New Roman"/>
          <w:color w:val="000000"/>
          <w:kern w:val="0"/>
          <w:sz w:val="32"/>
          <w:szCs w:val="32"/>
        </w:rPr>
      </w:pPr>
    </w:p>
    <w:p w14:paraId="3C05A667">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78E55AD9">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6D8B29A3">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eastAsia="zh-CN"/>
        </w:rPr>
        <w:t>蓝山县太平圩镇卫生院</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341"/>
        <w:gridCol w:w="1845"/>
        <w:gridCol w:w="1640"/>
        <w:gridCol w:w="1640"/>
        <w:gridCol w:w="1640"/>
        <w:gridCol w:w="1640"/>
        <w:gridCol w:w="1640"/>
        <w:gridCol w:w="1897"/>
        <w:gridCol w:w="1383"/>
      </w:tblGrid>
      <w:tr w14:paraId="2284C46F">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0BCB1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EFC64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F9755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D69A2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23AF8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00333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08951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08071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3C47BC7">
        <w:tblPrEx>
          <w:tblCellMar>
            <w:top w:w="0" w:type="dxa"/>
            <w:left w:w="0" w:type="dxa"/>
            <w:bottom w:w="0" w:type="dxa"/>
            <w:right w:w="0" w:type="dxa"/>
          </w:tblCellMar>
        </w:tblPrEx>
        <w:trPr>
          <w:trHeight w:val="334" w:hRule="exact"/>
          <w:jc w:val="center"/>
        </w:trPr>
        <w:tc>
          <w:tcPr>
            <w:tcW w:w="13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573DA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84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49F61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8E2DD2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815383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B49CBE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41DF67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993078B">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6F1F192">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76BB940">
            <w:pPr>
              <w:rPr>
                <w:rFonts w:ascii="Times New Roman" w:hAnsi="Times New Roman" w:eastAsia="仿宋_GB2312" w:cs="Times New Roman"/>
                <w:sz w:val="24"/>
                <w:szCs w:val="24"/>
              </w:rPr>
            </w:pPr>
          </w:p>
        </w:tc>
      </w:tr>
      <w:tr w14:paraId="4C398CDA">
        <w:tblPrEx>
          <w:tblCellMar>
            <w:top w:w="0" w:type="dxa"/>
            <w:left w:w="0" w:type="dxa"/>
            <w:bottom w:w="0" w:type="dxa"/>
            <w:right w:w="0" w:type="dxa"/>
          </w:tblCellMar>
        </w:tblPrEx>
        <w:trPr>
          <w:trHeight w:val="312" w:hRule="atLeast"/>
          <w:jc w:val="center"/>
        </w:trPr>
        <w:tc>
          <w:tcPr>
            <w:tcW w:w="1341" w:type="dxa"/>
            <w:vMerge w:val="continue"/>
            <w:tcBorders>
              <w:top w:val="single" w:color="auto" w:sz="4" w:space="0"/>
              <w:left w:val="single" w:color="auto" w:sz="4" w:space="0"/>
              <w:bottom w:val="single" w:color="auto" w:sz="4" w:space="0"/>
              <w:right w:val="single" w:color="auto" w:sz="4" w:space="0"/>
            </w:tcBorders>
            <w:vAlign w:val="center"/>
          </w:tcPr>
          <w:p w14:paraId="62E90E60">
            <w:pPr>
              <w:rPr>
                <w:rFonts w:ascii="Times New Roman" w:hAnsi="Times New Roman" w:eastAsia="仿宋_GB2312" w:cs="Times New Roman"/>
                <w:sz w:val="24"/>
                <w:szCs w:val="24"/>
              </w:rPr>
            </w:pPr>
          </w:p>
        </w:tc>
        <w:tc>
          <w:tcPr>
            <w:tcW w:w="1845" w:type="dxa"/>
            <w:vMerge w:val="continue"/>
            <w:tcBorders>
              <w:top w:val="nil"/>
              <w:left w:val="single" w:color="auto" w:sz="4" w:space="0"/>
              <w:bottom w:val="single" w:color="auto" w:sz="4" w:space="0"/>
              <w:right w:val="single" w:color="auto" w:sz="4" w:space="0"/>
            </w:tcBorders>
            <w:vAlign w:val="center"/>
          </w:tcPr>
          <w:p w14:paraId="27A9981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D47998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0E3050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1017F5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696FE5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7FFD681">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56F6A17">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38F5458">
            <w:pPr>
              <w:rPr>
                <w:rFonts w:ascii="Times New Roman" w:hAnsi="Times New Roman" w:eastAsia="仿宋_GB2312" w:cs="Times New Roman"/>
                <w:sz w:val="24"/>
                <w:szCs w:val="24"/>
              </w:rPr>
            </w:pPr>
          </w:p>
        </w:tc>
      </w:tr>
      <w:tr w14:paraId="148B9DAD">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780D50">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925218">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E250B0">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0C1145">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31CA75">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521B3E">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C90348">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2AC47A">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202D8CC">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D6ADAA">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D2088">
            <w:pPr>
              <w:jc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791.34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B53C3F">
            <w:pPr>
              <w:jc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448.02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F67701">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184A3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343.32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A649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962F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072D7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163C473">
        <w:tblPrEx>
          <w:tblCellMar>
            <w:top w:w="0" w:type="dxa"/>
            <w:left w:w="0" w:type="dxa"/>
            <w:bottom w:w="0" w:type="dxa"/>
            <w:right w:w="0" w:type="dxa"/>
          </w:tblCellMar>
        </w:tblPrEx>
        <w:trPr>
          <w:trHeight w:val="450" w:hRule="atLeast"/>
          <w:jc w:val="center"/>
        </w:trPr>
        <w:tc>
          <w:tcPr>
            <w:tcW w:w="13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366082">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046811">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B4C74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23.00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7086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23.00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A67466">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428618">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1DB2F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323E4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524F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AD6F44B">
        <w:tblPrEx>
          <w:tblCellMar>
            <w:top w:w="0" w:type="dxa"/>
            <w:left w:w="0" w:type="dxa"/>
            <w:bottom w:w="0" w:type="dxa"/>
            <w:right w:w="0" w:type="dxa"/>
          </w:tblCellMar>
        </w:tblPrEx>
        <w:trPr>
          <w:trHeight w:val="450" w:hRule="atLeast"/>
          <w:jc w:val="center"/>
        </w:trPr>
        <w:tc>
          <w:tcPr>
            <w:tcW w:w="13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683143">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94A40D">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9308C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1.18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1737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1.18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95991">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44662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C426E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6BC12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7979D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65C1C79">
        <w:tblPrEx>
          <w:tblCellMar>
            <w:top w:w="0" w:type="dxa"/>
            <w:left w:w="0" w:type="dxa"/>
            <w:bottom w:w="0" w:type="dxa"/>
            <w:right w:w="0" w:type="dxa"/>
          </w:tblCellMar>
        </w:tblPrEx>
        <w:trPr>
          <w:trHeight w:val="451" w:hRule="atLeast"/>
          <w:jc w:val="center"/>
        </w:trPr>
        <w:tc>
          <w:tcPr>
            <w:tcW w:w="13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B8E83C">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877535">
            <w:pPr>
              <w:keepNext w:val="0"/>
              <w:keepLines w:val="0"/>
              <w:widowControl/>
              <w:suppressLineNumbers w:val="0"/>
              <w:jc w:val="left"/>
              <w:textAlignment w:val="center"/>
              <w:rPr>
                <w:rFonts w:hint="eastAsia"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AB49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4F37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3FC5B">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AF177C">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FBC4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C6277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3766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E9D634C">
        <w:tblPrEx>
          <w:tblCellMar>
            <w:top w:w="0" w:type="dxa"/>
            <w:left w:w="0" w:type="dxa"/>
            <w:bottom w:w="0" w:type="dxa"/>
            <w:right w:w="0" w:type="dxa"/>
          </w:tblCellMar>
        </w:tblPrEx>
        <w:trPr>
          <w:trHeight w:val="450" w:hRule="atLeast"/>
          <w:jc w:val="center"/>
        </w:trPr>
        <w:tc>
          <w:tcPr>
            <w:tcW w:w="13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A61ADD">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2100302</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3963B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乡镇卫生院</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254D2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513.16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A40D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169.84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2D245">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BBBB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343.32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C9FF7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86D8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A43C5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7F087FD">
        <w:tblPrEx>
          <w:tblCellMar>
            <w:top w:w="0" w:type="dxa"/>
            <w:left w:w="0" w:type="dxa"/>
            <w:bottom w:w="0" w:type="dxa"/>
            <w:right w:w="0" w:type="dxa"/>
          </w:tblCellMar>
        </w:tblPrEx>
        <w:trPr>
          <w:trHeight w:val="450" w:hRule="atLeast"/>
          <w:jc w:val="center"/>
        </w:trPr>
        <w:tc>
          <w:tcPr>
            <w:tcW w:w="13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CC653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2100399</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A590F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76864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47.22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B728B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47.22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53347">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F68E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A17B4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3C9A4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F455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893B6C0">
        <w:tblPrEx>
          <w:tblCellMar>
            <w:top w:w="0" w:type="dxa"/>
            <w:left w:w="0" w:type="dxa"/>
            <w:bottom w:w="0" w:type="dxa"/>
            <w:right w:w="0" w:type="dxa"/>
          </w:tblCellMar>
        </w:tblPrEx>
        <w:trPr>
          <w:trHeight w:val="450" w:hRule="atLeast"/>
          <w:jc w:val="center"/>
        </w:trPr>
        <w:tc>
          <w:tcPr>
            <w:tcW w:w="13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478AAD">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2100408</w:t>
            </w:r>
          </w:p>
        </w:tc>
        <w:tc>
          <w:tcPr>
            <w:tcW w:w="1845"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1C303BBC">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基本公共卫生服务</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91AF3B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192.62</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20B6E3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192.62</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79393C0">
            <w:pPr>
              <w:jc w:val="center"/>
              <w:rPr>
                <w:rFonts w:ascii="Times New Roman" w:hAnsi="Times New Roman" w:eastAsia="仿宋_GB2312" w:cs="Times New Roman"/>
                <w:sz w:val="24"/>
                <w:szCs w:val="24"/>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7BF1F56">
            <w:pPr>
              <w:jc w:val="center"/>
              <w:rPr>
                <w:rFonts w:ascii="Times New Roman" w:hAnsi="Times New Roman" w:eastAsia="仿宋_GB2312" w:cs="Times New Roman"/>
                <w:sz w:val="24"/>
                <w:szCs w:val="24"/>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5DD7B7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8B4561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3F0B21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F5EFA28">
        <w:tblPrEx>
          <w:tblCellMar>
            <w:top w:w="0" w:type="dxa"/>
            <w:left w:w="0" w:type="dxa"/>
            <w:bottom w:w="0" w:type="dxa"/>
            <w:right w:w="0" w:type="dxa"/>
          </w:tblCellMar>
        </w:tblPrEx>
        <w:trPr>
          <w:trHeight w:val="450" w:hRule="atLeast"/>
          <w:jc w:val="center"/>
        </w:trPr>
        <w:tc>
          <w:tcPr>
            <w:tcW w:w="13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BAB83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2101102</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20CB1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E26EE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3EE5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7F6088">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0E97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26A9C">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588B9">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C73A5">
            <w:pPr>
              <w:jc w:val="right"/>
              <w:rPr>
                <w:rFonts w:ascii="Times New Roman" w:hAnsi="Times New Roman" w:eastAsia="仿宋_GB2312" w:cs="Times New Roman"/>
              </w:rPr>
            </w:pPr>
          </w:p>
        </w:tc>
      </w:tr>
    </w:tbl>
    <w:p w14:paraId="0B8328E9">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4420F308">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14:paraId="4FBAC02C">
      <w:pPr>
        <w:widowControl/>
        <w:jc w:val="center"/>
        <w:textAlignment w:val="center"/>
        <w:rPr>
          <w:rFonts w:ascii="Times New Roman" w:hAnsi="Times New Roman" w:eastAsia="黑体" w:cs="Times New Roman"/>
          <w:color w:val="000000"/>
          <w:kern w:val="0"/>
          <w:sz w:val="32"/>
          <w:szCs w:val="32"/>
        </w:rPr>
      </w:pPr>
    </w:p>
    <w:p w14:paraId="1282843D">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7DB0295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005A4C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蓝山县太平圩镇卫生院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6" w:type="pct"/>
        <w:jc w:val="center"/>
        <w:tblLayout w:type="fixed"/>
        <w:tblCellMar>
          <w:top w:w="0" w:type="dxa"/>
          <w:left w:w="108" w:type="dxa"/>
          <w:bottom w:w="0" w:type="dxa"/>
          <w:right w:w="108" w:type="dxa"/>
        </w:tblCellMar>
      </w:tblPr>
      <w:tblGrid>
        <w:gridCol w:w="1466"/>
        <w:gridCol w:w="1557"/>
        <w:gridCol w:w="1507"/>
        <w:gridCol w:w="2459"/>
        <w:gridCol w:w="2420"/>
        <w:gridCol w:w="1617"/>
        <w:gridCol w:w="854"/>
        <w:gridCol w:w="2329"/>
      </w:tblGrid>
      <w:tr w14:paraId="6DB8CF66">
        <w:tblPrEx>
          <w:tblCellMar>
            <w:top w:w="0" w:type="dxa"/>
            <w:left w:w="108" w:type="dxa"/>
            <w:bottom w:w="0" w:type="dxa"/>
            <w:right w:w="108" w:type="dxa"/>
          </w:tblCellMar>
        </w:tblPrEx>
        <w:trPr>
          <w:trHeight w:val="598" w:hRule="atLeast"/>
          <w:jc w:val="center"/>
        </w:trPr>
        <w:tc>
          <w:tcPr>
            <w:tcW w:w="106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644507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3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B628E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86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24947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85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2D67D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F0AB37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0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D35BE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1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80E15C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AC69A97">
        <w:tblPrEx>
          <w:tblCellMar>
            <w:top w:w="0" w:type="dxa"/>
            <w:left w:w="108" w:type="dxa"/>
            <w:bottom w:w="0" w:type="dxa"/>
            <w:right w:w="108" w:type="dxa"/>
          </w:tblCellMar>
        </w:tblPrEx>
        <w:trPr>
          <w:trHeight w:val="312" w:hRule="exact"/>
          <w:jc w:val="center"/>
        </w:trPr>
        <w:tc>
          <w:tcPr>
            <w:tcW w:w="51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06B2A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547" w:type="pct"/>
            <w:vMerge w:val="restart"/>
            <w:tcBorders>
              <w:top w:val="nil"/>
              <w:left w:val="single" w:color="auto" w:sz="4" w:space="0"/>
              <w:bottom w:val="single" w:color="auto" w:sz="4" w:space="0"/>
              <w:right w:val="single" w:color="auto" w:sz="4" w:space="0"/>
            </w:tcBorders>
            <w:shd w:val="clear" w:color="000000" w:fill="FFFFFF"/>
            <w:vAlign w:val="center"/>
          </w:tcPr>
          <w:p w14:paraId="78C66BB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30" w:type="pct"/>
            <w:vMerge w:val="continue"/>
            <w:tcBorders>
              <w:top w:val="single" w:color="auto" w:sz="4" w:space="0"/>
              <w:left w:val="single" w:color="auto" w:sz="4" w:space="0"/>
              <w:bottom w:val="single" w:color="auto" w:sz="4" w:space="0"/>
              <w:right w:val="single" w:color="auto" w:sz="4" w:space="0"/>
            </w:tcBorders>
            <w:vAlign w:val="center"/>
          </w:tcPr>
          <w:p w14:paraId="3C4C36AB">
            <w:pPr>
              <w:widowControl/>
              <w:jc w:val="left"/>
              <w:rPr>
                <w:rFonts w:ascii="Times New Roman" w:hAnsi="Times New Roman" w:eastAsia="仿宋_GB2312" w:cs="Times New Roman"/>
                <w:b/>
                <w:bCs/>
                <w:kern w:val="0"/>
                <w:sz w:val="24"/>
                <w:szCs w:val="24"/>
              </w:rPr>
            </w:pPr>
          </w:p>
        </w:tc>
        <w:tc>
          <w:tcPr>
            <w:tcW w:w="865" w:type="pct"/>
            <w:vMerge w:val="continue"/>
            <w:tcBorders>
              <w:top w:val="single" w:color="auto" w:sz="4" w:space="0"/>
              <w:left w:val="single" w:color="auto" w:sz="4" w:space="0"/>
              <w:bottom w:val="single" w:color="auto" w:sz="4" w:space="0"/>
              <w:right w:val="single" w:color="auto" w:sz="4" w:space="0"/>
            </w:tcBorders>
            <w:vAlign w:val="center"/>
          </w:tcPr>
          <w:p w14:paraId="4D54E2D7">
            <w:pPr>
              <w:widowControl/>
              <w:jc w:val="left"/>
              <w:rPr>
                <w:rFonts w:ascii="Times New Roman" w:hAnsi="Times New Roman" w:eastAsia="仿宋_GB2312" w:cs="Times New Roman"/>
                <w:b/>
                <w:bCs/>
                <w:kern w:val="0"/>
                <w:sz w:val="24"/>
                <w:szCs w:val="24"/>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50FE613B">
            <w:pPr>
              <w:widowControl/>
              <w:jc w:val="left"/>
              <w:rPr>
                <w:rFonts w:ascii="Times New Roman" w:hAnsi="Times New Roman" w:eastAsia="仿宋_GB2312" w:cs="Times New Roman"/>
                <w:b/>
                <w:bCs/>
                <w:kern w:val="0"/>
                <w:sz w:val="24"/>
                <w:szCs w:val="24"/>
              </w:rPr>
            </w:pPr>
          </w:p>
        </w:tc>
        <w:tc>
          <w:tcPr>
            <w:tcW w:w="569" w:type="pct"/>
            <w:vMerge w:val="continue"/>
            <w:tcBorders>
              <w:top w:val="single" w:color="auto" w:sz="4" w:space="0"/>
              <w:left w:val="single" w:color="auto" w:sz="4" w:space="0"/>
              <w:bottom w:val="single" w:color="auto" w:sz="4" w:space="0"/>
              <w:right w:val="single" w:color="auto" w:sz="4" w:space="0"/>
            </w:tcBorders>
            <w:vAlign w:val="center"/>
          </w:tcPr>
          <w:p w14:paraId="56CFF8D1">
            <w:pPr>
              <w:widowControl/>
              <w:jc w:val="left"/>
              <w:rPr>
                <w:rFonts w:ascii="Times New Roman" w:hAnsi="Times New Roman" w:eastAsia="仿宋_GB2312" w:cs="Times New Roman"/>
                <w:b/>
                <w:bCs/>
                <w:kern w:val="0"/>
                <w:sz w:val="24"/>
                <w:szCs w:val="24"/>
              </w:rPr>
            </w:pPr>
          </w:p>
        </w:tc>
        <w:tc>
          <w:tcPr>
            <w:tcW w:w="300" w:type="pct"/>
            <w:vMerge w:val="continue"/>
            <w:tcBorders>
              <w:top w:val="single" w:color="auto" w:sz="4" w:space="0"/>
              <w:left w:val="single" w:color="auto" w:sz="4" w:space="0"/>
              <w:bottom w:val="single" w:color="auto" w:sz="4" w:space="0"/>
              <w:right w:val="single" w:color="auto" w:sz="4" w:space="0"/>
            </w:tcBorders>
            <w:vAlign w:val="center"/>
          </w:tcPr>
          <w:p w14:paraId="06DD8A4C">
            <w:pPr>
              <w:widowControl/>
              <w:jc w:val="left"/>
              <w:rPr>
                <w:rFonts w:ascii="Times New Roman" w:hAnsi="Times New Roman" w:eastAsia="仿宋_GB2312" w:cs="Times New Roman"/>
                <w:b/>
                <w:bCs/>
                <w:kern w:val="0"/>
                <w:sz w:val="24"/>
                <w:szCs w:val="24"/>
              </w:rPr>
            </w:pPr>
          </w:p>
        </w:tc>
        <w:tc>
          <w:tcPr>
            <w:tcW w:w="819" w:type="pct"/>
            <w:vMerge w:val="continue"/>
            <w:tcBorders>
              <w:top w:val="single" w:color="auto" w:sz="4" w:space="0"/>
              <w:left w:val="single" w:color="auto" w:sz="4" w:space="0"/>
              <w:bottom w:val="single" w:color="auto" w:sz="4" w:space="0"/>
              <w:right w:val="single" w:color="auto" w:sz="4" w:space="0"/>
            </w:tcBorders>
            <w:vAlign w:val="center"/>
          </w:tcPr>
          <w:p w14:paraId="77DE69FC">
            <w:pPr>
              <w:widowControl/>
              <w:jc w:val="left"/>
              <w:rPr>
                <w:rFonts w:ascii="Times New Roman" w:hAnsi="Times New Roman" w:eastAsia="仿宋_GB2312" w:cs="Times New Roman"/>
                <w:b/>
                <w:bCs/>
                <w:kern w:val="0"/>
                <w:sz w:val="24"/>
                <w:szCs w:val="24"/>
              </w:rPr>
            </w:pPr>
          </w:p>
        </w:tc>
      </w:tr>
      <w:tr w14:paraId="27CB5CF2">
        <w:tblPrEx>
          <w:tblCellMar>
            <w:top w:w="0" w:type="dxa"/>
            <w:left w:w="108" w:type="dxa"/>
            <w:bottom w:w="0" w:type="dxa"/>
            <w:right w:w="108" w:type="dxa"/>
          </w:tblCellMar>
        </w:tblPrEx>
        <w:trPr>
          <w:trHeight w:val="595" w:hRule="atLeast"/>
          <w:jc w:val="center"/>
        </w:trPr>
        <w:tc>
          <w:tcPr>
            <w:tcW w:w="515" w:type="pct"/>
            <w:vMerge w:val="continue"/>
            <w:tcBorders>
              <w:top w:val="single" w:color="auto" w:sz="4" w:space="0"/>
              <w:left w:val="single" w:color="auto" w:sz="4" w:space="0"/>
              <w:bottom w:val="single" w:color="auto" w:sz="4" w:space="0"/>
              <w:right w:val="single" w:color="auto" w:sz="4" w:space="0"/>
            </w:tcBorders>
            <w:vAlign w:val="center"/>
          </w:tcPr>
          <w:p w14:paraId="45BE7152">
            <w:pPr>
              <w:widowControl/>
              <w:jc w:val="left"/>
              <w:rPr>
                <w:rFonts w:ascii="Times New Roman" w:hAnsi="Times New Roman" w:eastAsia="仿宋_GB2312" w:cs="Times New Roman"/>
                <w:kern w:val="0"/>
                <w:sz w:val="24"/>
                <w:szCs w:val="24"/>
              </w:rPr>
            </w:pPr>
          </w:p>
        </w:tc>
        <w:tc>
          <w:tcPr>
            <w:tcW w:w="547" w:type="pct"/>
            <w:vMerge w:val="continue"/>
            <w:tcBorders>
              <w:top w:val="nil"/>
              <w:left w:val="single" w:color="auto" w:sz="4" w:space="0"/>
              <w:bottom w:val="single" w:color="auto" w:sz="4" w:space="0"/>
              <w:right w:val="single" w:color="auto" w:sz="4" w:space="0"/>
            </w:tcBorders>
            <w:vAlign w:val="center"/>
          </w:tcPr>
          <w:p w14:paraId="6FF970FA">
            <w:pPr>
              <w:widowControl/>
              <w:jc w:val="left"/>
              <w:rPr>
                <w:rFonts w:ascii="Times New Roman" w:hAnsi="Times New Roman" w:eastAsia="仿宋_GB2312" w:cs="Times New Roman"/>
                <w:kern w:val="0"/>
                <w:sz w:val="24"/>
                <w:szCs w:val="24"/>
              </w:rPr>
            </w:pPr>
          </w:p>
        </w:tc>
        <w:tc>
          <w:tcPr>
            <w:tcW w:w="530" w:type="pct"/>
            <w:vMerge w:val="continue"/>
            <w:tcBorders>
              <w:top w:val="single" w:color="auto" w:sz="4" w:space="0"/>
              <w:left w:val="single" w:color="auto" w:sz="4" w:space="0"/>
              <w:bottom w:val="single" w:color="auto" w:sz="4" w:space="0"/>
              <w:right w:val="single" w:color="auto" w:sz="4" w:space="0"/>
            </w:tcBorders>
            <w:vAlign w:val="center"/>
          </w:tcPr>
          <w:p w14:paraId="6F71768A">
            <w:pPr>
              <w:widowControl/>
              <w:jc w:val="left"/>
              <w:rPr>
                <w:rFonts w:ascii="Times New Roman" w:hAnsi="Times New Roman" w:eastAsia="仿宋_GB2312" w:cs="Times New Roman"/>
                <w:kern w:val="0"/>
                <w:sz w:val="24"/>
                <w:szCs w:val="24"/>
              </w:rPr>
            </w:pPr>
          </w:p>
        </w:tc>
        <w:tc>
          <w:tcPr>
            <w:tcW w:w="865" w:type="pct"/>
            <w:vMerge w:val="continue"/>
            <w:tcBorders>
              <w:top w:val="single" w:color="auto" w:sz="4" w:space="0"/>
              <w:left w:val="single" w:color="auto" w:sz="4" w:space="0"/>
              <w:bottom w:val="single" w:color="auto" w:sz="4" w:space="0"/>
              <w:right w:val="single" w:color="auto" w:sz="4" w:space="0"/>
            </w:tcBorders>
            <w:vAlign w:val="center"/>
          </w:tcPr>
          <w:p w14:paraId="6ACF7919">
            <w:pPr>
              <w:widowControl/>
              <w:jc w:val="left"/>
              <w:rPr>
                <w:rFonts w:ascii="Times New Roman" w:hAnsi="Times New Roman" w:eastAsia="仿宋_GB2312" w:cs="Times New Roman"/>
                <w:kern w:val="0"/>
                <w:sz w:val="24"/>
                <w:szCs w:val="24"/>
              </w:rPr>
            </w:pP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2A2578E3">
            <w:pPr>
              <w:widowControl/>
              <w:jc w:val="left"/>
              <w:rPr>
                <w:rFonts w:ascii="Times New Roman" w:hAnsi="Times New Roman" w:eastAsia="仿宋_GB2312" w:cs="Times New Roman"/>
                <w:kern w:val="0"/>
                <w:sz w:val="24"/>
                <w:szCs w:val="24"/>
              </w:rPr>
            </w:pPr>
          </w:p>
        </w:tc>
        <w:tc>
          <w:tcPr>
            <w:tcW w:w="569" w:type="pct"/>
            <w:vMerge w:val="continue"/>
            <w:tcBorders>
              <w:top w:val="single" w:color="auto" w:sz="4" w:space="0"/>
              <w:left w:val="single" w:color="auto" w:sz="4" w:space="0"/>
              <w:bottom w:val="single" w:color="auto" w:sz="4" w:space="0"/>
              <w:right w:val="single" w:color="auto" w:sz="4" w:space="0"/>
            </w:tcBorders>
            <w:vAlign w:val="center"/>
          </w:tcPr>
          <w:p w14:paraId="571C11FD">
            <w:pPr>
              <w:widowControl/>
              <w:jc w:val="left"/>
              <w:rPr>
                <w:rFonts w:ascii="Times New Roman" w:hAnsi="Times New Roman" w:eastAsia="仿宋_GB2312" w:cs="Times New Roman"/>
                <w:kern w:val="0"/>
                <w:sz w:val="24"/>
                <w:szCs w:val="24"/>
              </w:rPr>
            </w:pPr>
          </w:p>
        </w:tc>
        <w:tc>
          <w:tcPr>
            <w:tcW w:w="300" w:type="pct"/>
            <w:vMerge w:val="continue"/>
            <w:tcBorders>
              <w:top w:val="single" w:color="auto" w:sz="4" w:space="0"/>
              <w:left w:val="single" w:color="auto" w:sz="4" w:space="0"/>
              <w:bottom w:val="single" w:color="auto" w:sz="4" w:space="0"/>
              <w:right w:val="single" w:color="auto" w:sz="4" w:space="0"/>
            </w:tcBorders>
            <w:vAlign w:val="center"/>
          </w:tcPr>
          <w:p w14:paraId="2F8985A0">
            <w:pPr>
              <w:widowControl/>
              <w:jc w:val="left"/>
              <w:rPr>
                <w:rFonts w:ascii="Times New Roman" w:hAnsi="Times New Roman" w:eastAsia="仿宋_GB2312" w:cs="Times New Roman"/>
                <w:kern w:val="0"/>
                <w:sz w:val="24"/>
                <w:szCs w:val="24"/>
              </w:rPr>
            </w:pPr>
          </w:p>
        </w:tc>
        <w:tc>
          <w:tcPr>
            <w:tcW w:w="819" w:type="pct"/>
            <w:vMerge w:val="continue"/>
            <w:tcBorders>
              <w:top w:val="single" w:color="auto" w:sz="4" w:space="0"/>
              <w:left w:val="single" w:color="auto" w:sz="4" w:space="0"/>
              <w:bottom w:val="single" w:color="auto" w:sz="4" w:space="0"/>
              <w:right w:val="single" w:color="auto" w:sz="4" w:space="0"/>
            </w:tcBorders>
            <w:vAlign w:val="center"/>
          </w:tcPr>
          <w:p w14:paraId="12A10703">
            <w:pPr>
              <w:widowControl/>
              <w:jc w:val="left"/>
              <w:rPr>
                <w:rFonts w:ascii="Times New Roman" w:hAnsi="Times New Roman" w:eastAsia="仿宋_GB2312" w:cs="Times New Roman"/>
                <w:kern w:val="0"/>
                <w:sz w:val="24"/>
                <w:szCs w:val="24"/>
              </w:rPr>
            </w:pPr>
          </w:p>
        </w:tc>
      </w:tr>
      <w:tr w14:paraId="3BBCC06B">
        <w:tblPrEx>
          <w:tblCellMar>
            <w:top w:w="0" w:type="dxa"/>
            <w:left w:w="108" w:type="dxa"/>
            <w:bottom w:w="0" w:type="dxa"/>
            <w:right w:w="108" w:type="dxa"/>
          </w:tblCellMar>
        </w:tblPrEx>
        <w:trPr>
          <w:trHeight w:val="595" w:hRule="atLeast"/>
          <w:jc w:val="center"/>
        </w:trPr>
        <w:tc>
          <w:tcPr>
            <w:tcW w:w="10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DDEF3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30" w:type="pct"/>
            <w:tcBorders>
              <w:top w:val="nil"/>
              <w:left w:val="nil"/>
              <w:bottom w:val="single" w:color="auto" w:sz="4" w:space="0"/>
              <w:right w:val="single" w:color="auto" w:sz="4" w:space="0"/>
            </w:tcBorders>
            <w:shd w:val="clear" w:color="000000" w:fill="FFFFFF"/>
            <w:noWrap/>
            <w:vAlign w:val="center"/>
          </w:tcPr>
          <w:p w14:paraId="5186AC6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865" w:type="pct"/>
            <w:tcBorders>
              <w:top w:val="nil"/>
              <w:left w:val="nil"/>
              <w:bottom w:val="single" w:color="auto" w:sz="4" w:space="0"/>
              <w:right w:val="single" w:color="auto" w:sz="4" w:space="0"/>
            </w:tcBorders>
            <w:shd w:val="clear" w:color="000000" w:fill="FFFFFF"/>
            <w:noWrap/>
            <w:vAlign w:val="center"/>
          </w:tcPr>
          <w:p w14:paraId="30123E5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851" w:type="pct"/>
            <w:tcBorders>
              <w:top w:val="nil"/>
              <w:left w:val="nil"/>
              <w:bottom w:val="single" w:color="auto" w:sz="4" w:space="0"/>
              <w:right w:val="single" w:color="auto" w:sz="4" w:space="0"/>
            </w:tcBorders>
            <w:shd w:val="clear" w:color="000000" w:fill="FFFFFF"/>
            <w:noWrap/>
            <w:vAlign w:val="center"/>
          </w:tcPr>
          <w:p w14:paraId="3939F31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69" w:type="pct"/>
            <w:tcBorders>
              <w:top w:val="nil"/>
              <w:left w:val="nil"/>
              <w:bottom w:val="single" w:color="auto" w:sz="4" w:space="0"/>
              <w:right w:val="single" w:color="auto" w:sz="4" w:space="0"/>
            </w:tcBorders>
            <w:shd w:val="clear" w:color="000000" w:fill="FFFFFF"/>
            <w:noWrap/>
            <w:vAlign w:val="center"/>
          </w:tcPr>
          <w:p w14:paraId="7F4EB1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00" w:type="pct"/>
            <w:tcBorders>
              <w:top w:val="nil"/>
              <w:left w:val="nil"/>
              <w:bottom w:val="single" w:color="auto" w:sz="4" w:space="0"/>
              <w:right w:val="single" w:color="auto" w:sz="4" w:space="0"/>
            </w:tcBorders>
            <w:shd w:val="clear" w:color="000000" w:fill="FFFFFF"/>
            <w:noWrap/>
            <w:vAlign w:val="center"/>
          </w:tcPr>
          <w:p w14:paraId="7322DCB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19" w:type="pct"/>
            <w:tcBorders>
              <w:top w:val="nil"/>
              <w:left w:val="nil"/>
              <w:bottom w:val="single" w:color="auto" w:sz="4" w:space="0"/>
              <w:right w:val="single" w:color="auto" w:sz="4" w:space="0"/>
            </w:tcBorders>
            <w:shd w:val="clear" w:color="000000" w:fill="FFFFFF"/>
            <w:noWrap/>
            <w:vAlign w:val="center"/>
          </w:tcPr>
          <w:p w14:paraId="49A1665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68A5FC48">
        <w:tblPrEx>
          <w:tblCellMar>
            <w:top w:w="0" w:type="dxa"/>
            <w:left w:w="108" w:type="dxa"/>
            <w:bottom w:w="0" w:type="dxa"/>
            <w:right w:w="108" w:type="dxa"/>
          </w:tblCellMar>
        </w:tblPrEx>
        <w:trPr>
          <w:trHeight w:val="595" w:hRule="atLeast"/>
          <w:jc w:val="center"/>
        </w:trPr>
        <w:tc>
          <w:tcPr>
            <w:tcW w:w="10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E39F0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30" w:type="pct"/>
            <w:tcBorders>
              <w:top w:val="nil"/>
              <w:left w:val="nil"/>
              <w:bottom w:val="single" w:color="auto" w:sz="4" w:space="0"/>
              <w:right w:val="single" w:color="auto" w:sz="4" w:space="0"/>
            </w:tcBorders>
            <w:shd w:val="clear" w:color="auto" w:fill="auto"/>
            <w:noWrap/>
            <w:vAlign w:val="center"/>
          </w:tcPr>
          <w:p w14:paraId="3B4419F9">
            <w:pPr>
              <w:widowControl/>
              <w:jc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791.34</w:t>
            </w:r>
          </w:p>
        </w:tc>
        <w:tc>
          <w:tcPr>
            <w:tcW w:w="865" w:type="pct"/>
            <w:tcBorders>
              <w:top w:val="nil"/>
              <w:left w:val="nil"/>
              <w:bottom w:val="single" w:color="auto" w:sz="4" w:space="0"/>
              <w:right w:val="single" w:color="auto" w:sz="4" w:space="0"/>
            </w:tcBorders>
            <w:shd w:val="clear" w:color="auto" w:fill="auto"/>
            <w:noWrap/>
            <w:vAlign w:val="center"/>
          </w:tcPr>
          <w:p w14:paraId="20061738">
            <w:pPr>
              <w:widowControl/>
              <w:jc w:val="center"/>
              <w:rPr>
                <w:rFonts w:ascii="Times New Roman" w:hAnsi="Times New Roman" w:eastAsia="仿宋_GB2312" w:cs="Times New Roman"/>
                <w:b w:val="0"/>
                <w:bCs w:val="0"/>
                <w:kern w:val="0"/>
                <w:sz w:val="24"/>
                <w:szCs w:val="24"/>
              </w:rPr>
            </w:pPr>
            <w:r>
              <w:rPr>
                <w:rFonts w:hint="eastAsia" w:ascii="Times New Roman" w:hAnsi="Times New Roman" w:eastAsia="仿宋_GB2312" w:cs="Times New Roman"/>
                <w:b w:val="0"/>
                <w:bCs w:val="0"/>
                <w:kern w:val="0"/>
                <w:sz w:val="24"/>
                <w:szCs w:val="24"/>
              </w:rPr>
              <w:t>598.73</w:t>
            </w:r>
          </w:p>
        </w:tc>
        <w:tc>
          <w:tcPr>
            <w:tcW w:w="851" w:type="pct"/>
            <w:tcBorders>
              <w:top w:val="nil"/>
              <w:left w:val="nil"/>
              <w:bottom w:val="single" w:color="auto" w:sz="4" w:space="0"/>
              <w:right w:val="single" w:color="auto" w:sz="4" w:space="0"/>
            </w:tcBorders>
            <w:shd w:val="clear" w:color="auto" w:fill="auto"/>
            <w:noWrap/>
            <w:vAlign w:val="center"/>
          </w:tcPr>
          <w:p w14:paraId="1079DA42">
            <w:pPr>
              <w:widowControl/>
              <w:jc w:val="center"/>
              <w:rPr>
                <w:rFonts w:ascii="Times New Roman" w:hAnsi="Times New Roman" w:eastAsia="仿宋_GB2312" w:cs="Times New Roman"/>
                <w:b w:val="0"/>
                <w:bCs w:val="0"/>
                <w:kern w:val="0"/>
                <w:sz w:val="24"/>
                <w:szCs w:val="24"/>
              </w:rPr>
            </w:pPr>
            <w:r>
              <w:rPr>
                <w:rFonts w:hint="eastAsia" w:ascii="Times New Roman" w:hAnsi="Times New Roman" w:eastAsia="仿宋_GB2312" w:cs="Times New Roman"/>
                <w:b w:val="0"/>
                <w:bCs w:val="0"/>
                <w:kern w:val="0"/>
                <w:sz w:val="24"/>
                <w:szCs w:val="24"/>
              </w:rPr>
              <w:t>192.62</w:t>
            </w:r>
          </w:p>
        </w:tc>
        <w:tc>
          <w:tcPr>
            <w:tcW w:w="569" w:type="pct"/>
            <w:tcBorders>
              <w:top w:val="nil"/>
              <w:left w:val="nil"/>
              <w:bottom w:val="single" w:color="auto" w:sz="4" w:space="0"/>
              <w:right w:val="single" w:color="auto" w:sz="4" w:space="0"/>
            </w:tcBorders>
            <w:shd w:val="clear" w:color="auto" w:fill="auto"/>
            <w:noWrap/>
            <w:vAlign w:val="center"/>
          </w:tcPr>
          <w:p w14:paraId="512319E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00" w:type="pct"/>
            <w:tcBorders>
              <w:top w:val="nil"/>
              <w:left w:val="nil"/>
              <w:bottom w:val="single" w:color="auto" w:sz="4" w:space="0"/>
              <w:right w:val="single" w:color="auto" w:sz="4" w:space="0"/>
            </w:tcBorders>
            <w:shd w:val="clear" w:color="auto" w:fill="auto"/>
            <w:noWrap/>
            <w:vAlign w:val="center"/>
          </w:tcPr>
          <w:p w14:paraId="6D81179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9" w:type="pct"/>
            <w:tcBorders>
              <w:top w:val="nil"/>
              <w:left w:val="nil"/>
              <w:bottom w:val="single" w:color="auto" w:sz="4" w:space="0"/>
              <w:right w:val="single" w:color="auto" w:sz="4" w:space="0"/>
            </w:tcBorders>
            <w:shd w:val="clear" w:color="auto" w:fill="auto"/>
            <w:noWrap/>
            <w:vAlign w:val="center"/>
          </w:tcPr>
          <w:p w14:paraId="7D2FD90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6AAB2E2">
        <w:tblPrEx>
          <w:tblCellMar>
            <w:top w:w="0" w:type="dxa"/>
            <w:left w:w="108" w:type="dxa"/>
            <w:bottom w:w="0" w:type="dxa"/>
            <w:right w:w="108" w:type="dxa"/>
          </w:tblCellMar>
        </w:tblPrEx>
        <w:trPr>
          <w:trHeight w:val="595" w:hRule="atLeast"/>
          <w:jc w:val="center"/>
        </w:trPr>
        <w:tc>
          <w:tcPr>
            <w:tcW w:w="5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A53D30">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547" w:type="pct"/>
            <w:tcBorders>
              <w:top w:val="nil"/>
              <w:left w:val="nil"/>
              <w:bottom w:val="single" w:color="auto" w:sz="4" w:space="0"/>
              <w:right w:val="single" w:color="auto" w:sz="4" w:space="0"/>
            </w:tcBorders>
            <w:shd w:val="clear" w:color="000000" w:fill="FFFFFF"/>
            <w:noWrap/>
            <w:vAlign w:val="center"/>
          </w:tcPr>
          <w:p w14:paraId="7226889A">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30" w:type="pct"/>
            <w:tcBorders>
              <w:top w:val="nil"/>
              <w:left w:val="nil"/>
              <w:bottom w:val="single" w:color="auto" w:sz="4" w:space="0"/>
              <w:right w:val="single" w:color="auto" w:sz="4" w:space="0"/>
            </w:tcBorders>
            <w:shd w:val="clear" w:color="auto" w:fill="auto"/>
            <w:noWrap/>
            <w:vAlign w:val="center"/>
          </w:tcPr>
          <w:p w14:paraId="12D5247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23.00</w:t>
            </w:r>
          </w:p>
        </w:tc>
        <w:tc>
          <w:tcPr>
            <w:tcW w:w="865" w:type="pct"/>
            <w:tcBorders>
              <w:top w:val="nil"/>
              <w:left w:val="nil"/>
              <w:bottom w:val="single" w:color="auto" w:sz="4" w:space="0"/>
              <w:right w:val="single" w:color="auto" w:sz="4" w:space="0"/>
            </w:tcBorders>
            <w:shd w:val="clear" w:color="auto" w:fill="auto"/>
            <w:noWrap/>
            <w:vAlign w:val="center"/>
          </w:tcPr>
          <w:p w14:paraId="1D8F666D">
            <w:pPr>
              <w:keepNext w:val="0"/>
              <w:keepLines w:val="0"/>
              <w:widowControl/>
              <w:suppressLineNumbers w:val="0"/>
              <w:jc w:val="center"/>
              <w:textAlignment w:val="center"/>
              <w:rPr>
                <w:rFonts w:ascii="Times New Roman" w:hAnsi="Times New Roman" w:eastAsia="仿宋_GB2312" w:cs="Times New Roman"/>
                <w:b w:val="0"/>
                <w:bCs w:val="0"/>
                <w:kern w:val="0"/>
                <w:sz w:val="24"/>
                <w:szCs w:val="24"/>
              </w:rPr>
            </w:pPr>
            <w:r>
              <w:rPr>
                <w:rFonts w:hint="eastAsia" w:ascii="宋体" w:hAnsi="宋体" w:eastAsia="宋体" w:cs="宋体"/>
                <w:i w:val="0"/>
                <w:iCs w:val="0"/>
                <w:color w:val="000000"/>
                <w:kern w:val="0"/>
                <w:sz w:val="22"/>
                <w:szCs w:val="22"/>
                <w:u w:val="none"/>
                <w:lang w:val="en-US" w:eastAsia="zh-CN" w:bidi="ar"/>
              </w:rPr>
              <w:t>23.00</w:t>
            </w:r>
          </w:p>
        </w:tc>
        <w:tc>
          <w:tcPr>
            <w:tcW w:w="851" w:type="pct"/>
            <w:tcBorders>
              <w:top w:val="nil"/>
              <w:left w:val="nil"/>
              <w:bottom w:val="single" w:color="auto" w:sz="4" w:space="0"/>
              <w:right w:val="single" w:color="auto" w:sz="4" w:space="0"/>
            </w:tcBorders>
            <w:shd w:val="clear" w:color="auto" w:fill="auto"/>
            <w:noWrap/>
            <w:vAlign w:val="center"/>
          </w:tcPr>
          <w:p w14:paraId="08D72194">
            <w:pPr>
              <w:widowControl/>
              <w:jc w:val="center"/>
              <w:rPr>
                <w:rFonts w:ascii="Times New Roman" w:hAnsi="Times New Roman" w:eastAsia="仿宋_GB2312" w:cs="Times New Roman"/>
                <w:b w:val="0"/>
                <w:bCs w:val="0"/>
                <w:kern w:val="0"/>
                <w:sz w:val="24"/>
                <w:szCs w:val="24"/>
              </w:rPr>
            </w:pPr>
          </w:p>
        </w:tc>
        <w:tc>
          <w:tcPr>
            <w:tcW w:w="569" w:type="pct"/>
            <w:tcBorders>
              <w:top w:val="nil"/>
              <w:left w:val="nil"/>
              <w:bottom w:val="single" w:color="auto" w:sz="4" w:space="0"/>
              <w:right w:val="single" w:color="auto" w:sz="4" w:space="0"/>
            </w:tcBorders>
            <w:shd w:val="clear" w:color="auto" w:fill="auto"/>
            <w:noWrap/>
            <w:vAlign w:val="center"/>
          </w:tcPr>
          <w:p w14:paraId="0E97B17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00" w:type="pct"/>
            <w:tcBorders>
              <w:top w:val="nil"/>
              <w:left w:val="nil"/>
              <w:bottom w:val="single" w:color="auto" w:sz="4" w:space="0"/>
              <w:right w:val="single" w:color="auto" w:sz="4" w:space="0"/>
            </w:tcBorders>
            <w:shd w:val="clear" w:color="auto" w:fill="auto"/>
            <w:noWrap/>
            <w:vAlign w:val="center"/>
          </w:tcPr>
          <w:p w14:paraId="5DF218B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9" w:type="pct"/>
            <w:tcBorders>
              <w:top w:val="nil"/>
              <w:left w:val="nil"/>
              <w:bottom w:val="single" w:color="auto" w:sz="4" w:space="0"/>
              <w:right w:val="single" w:color="auto" w:sz="4" w:space="0"/>
            </w:tcBorders>
            <w:shd w:val="clear" w:color="auto" w:fill="auto"/>
            <w:noWrap/>
            <w:vAlign w:val="center"/>
          </w:tcPr>
          <w:p w14:paraId="523A317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EC78A09">
        <w:tblPrEx>
          <w:tblCellMar>
            <w:top w:w="0" w:type="dxa"/>
            <w:left w:w="108" w:type="dxa"/>
            <w:bottom w:w="0" w:type="dxa"/>
            <w:right w:w="108" w:type="dxa"/>
          </w:tblCellMar>
        </w:tblPrEx>
        <w:trPr>
          <w:trHeight w:val="595" w:hRule="atLeast"/>
          <w:jc w:val="center"/>
        </w:trPr>
        <w:tc>
          <w:tcPr>
            <w:tcW w:w="5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FDB61D">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547" w:type="pct"/>
            <w:tcBorders>
              <w:top w:val="nil"/>
              <w:left w:val="nil"/>
              <w:bottom w:val="single" w:color="auto" w:sz="4" w:space="0"/>
              <w:right w:val="single" w:color="auto" w:sz="4" w:space="0"/>
            </w:tcBorders>
            <w:shd w:val="clear" w:color="000000" w:fill="FFFFFF"/>
            <w:noWrap/>
            <w:vAlign w:val="center"/>
          </w:tcPr>
          <w:p w14:paraId="4466A098">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530" w:type="pct"/>
            <w:tcBorders>
              <w:top w:val="nil"/>
              <w:left w:val="nil"/>
              <w:bottom w:val="single" w:color="auto" w:sz="4" w:space="0"/>
              <w:right w:val="single" w:color="auto" w:sz="4" w:space="0"/>
            </w:tcBorders>
            <w:shd w:val="clear" w:color="auto" w:fill="auto"/>
            <w:noWrap/>
            <w:vAlign w:val="center"/>
          </w:tcPr>
          <w:p w14:paraId="46CA8FD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1.18</w:t>
            </w:r>
          </w:p>
        </w:tc>
        <w:tc>
          <w:tcPr>
            <w:tcW w:w="865" w:type="pct"/>
            <w:tcBorders>
              <w:top w:val="nil"/>
              <w:left w:val="nil"/>
              <w:bottom w:val="single" w:color="auto" w:sz="4" w:space="0"/>
              <w:right w:val="single" w:color="auto" w:sz="4" w:space="0"/>
            </w:tcBorders>
            <w:shd w:val="clear" w:color="auto" w:fill="auto"/>
            <w:noWrap/>
            <w:vAlign w:val="center"/>
          </w:tcPr>
          <w:p w14:paraId="6989C496">
            <w:pPr>
              <w:keepNext w:val="0"/>
              <w:keepLines w:val="0"/>
              <w:widowControl/>
              <w:suppressLineNumbers w:val="0"/>
              <w:jc w:val="center"/>
              <w:textAlignment w:val="center"/>
              <w:rPr>
                <w:rFonts w:ascii="Times New Roman" w:hAnsi="Times New Roman" w:eastAsia="仿宋_GB2312" w:cs="Times New Roman"/>
                <w:b w:val="0"/>
                <w:bCs w:val="0"/>
                <w:kern w:val="0"/>
                <w:sz w:val="24"/>
                <w:szCs w:val="24"/>
              </w:rPr>
            </w:pPr>
            <w:r>
              <w:rPr>
                <w:rFonts w:hint="eastAsia" w:ascii="宋体" w:hAnsi="宋体" w:eastAsia="宋体" w:cs="宋体"/>
                <w:i w:val="0"/>
                <w:iCs w:val="0"/>
                <w:color w:val="000000"/>
                <w:kern w:val="0"/>
                <w:sz w:val="22"/>
                <w:szCs w:val="22"/>
                <w:u w:val="none"/>
                <w:lang w:val="en-US" w:eastAsia="zh-CN" w:bidi="ar"/>
              </w:rPr>
              <w:t>1.18</w:t>
            </w:r>
          </w:p>
        </w:tc>
        <w:tc>
          <w:tcPr>
            <w:tcW w:w="851" w:type="pct"/>
            <w:tcBorders>
              <w:top w:val="nil"/>
              <w:left w:val="nil"/>
              <w:bottom w:val="single" w:color="auto" w:sz="4" w:space="0"/>
              <w:right w:val="single" w:color="auto" w:sz="4" w:space="0"/>
            </w:tcBorders>
            <w:shd w:val="clear" w:color="auto" w:fill="auto"/>
            <w:noWrap/>
            <w:vAlign w:val="center"/>
          </w:tcPr>
          <w:p w14:paraId="36A17462">
            <w:pPr>
              <w:widowControl/>
              <w:jc w:val="center"/>
              <w:rPr>
                <w:rFonts w:ascii="Times New Roman" w:hAnsi="Times New Roman" w:eastAsia="仿宋_GB2312" w:cs="Times New Roman"/>
                <w:b w:val="0"/>
                <w:bCs w:val="0"/>
                <w:kern w:val="0"/>
                <w:sz w:val="24"/>
                <w:szCs w:val="24"/>
              </w:rPr>
            </w:pPr>
          </w:p>
        </w:tc>
        <w:tc>
          <w:tcPr>
            <w:tcW w:w="569" w:type="pct"/>
            <w:tcBorders>
              <w:top w:val="nil"/>
              <w:left w:val="nil"/>
              <w:bottom w:val="single" w:color="auto" w:sz="4" w:space="0"/>
              <w:right w:val="single" w:color="auto" w:sz="4" w:space="0"/>
            </w:tcBorders>
            <w:shd w:val="clear" w:color="auto" w:fill="auto"/>
            <w:noWrap/>
            <w:vAlign w:val="center"/>
          </w:tcPr>
          <w:p w14:paraId="317E1B2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00" w:type="pct"/>
            <w:tcBorders>
              <w:top w:val="nil"/>
              <w:left w:val="nil"/>
              <w:bottom w:val="single" w:color="auto" w:sz="4" w:space="0"/>
              <w:right w:val="single" w:color="auto" w:sz="4" w:space="0"/>
            </w:tcBorders>
            <w:shd w:val="clear" w:color="auto" w:fill="auto"/>
            <w:noWrap/>
            <w:vAlign w:val="center"/>
          </w:tcPr>
          <w:p w14:paraId="40910D3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9" w:type="pct"/>
            <w:tcBorders>
              <w:top w:val="nil"/>
              <w:left w:val="nil"/>
              <w:bottom w:val="single" w:color="auto" w:sz="4" w:space="0"/>
              <w:right w:val="single" w:color="auto" w:sz="4" w:space="0"/>
            </w:tcBorders>
            <w:shd w:val="clear" w:color="auto" w:fill="auto"/>
            <w:noWrap/>
            <w:vAlign w:val="center"/>
          </w:tcPr>
          <w:p w14:paraId="3A5E10E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4749DFB">
        <w:tblPrEx>
          <w:tblCellMar>
            <w:top w:w="0" w:type="dxa"/>
            <w:left w:w="108" w:type="dxa"/>
            <w:bottom w:w="0" w:type="dxa"/>
            <w:right w:w="108" w:type="dxa"/>
          </w:tblCellMar>
        </w:tblPrEx>
        <w:trPr>
          <w:trHeight w:val="595" w:hRule="atLeast"/>
          <w:jc w:val="center"/>
        </w:trPr>
        <w:tc>
          <w:tcPr>
            <w:tcW w:w="5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ACBBD1">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547" w:type="pct"/>
            <w:tcBorders>
              <w:top w:val="nil"/>
              <w:left w:val="nil"/>
              <w:bottom w:val="single" w:color="auto" w:sz="4" w:space="0"/>
              <w:right w:val="single" w:color="auto" w:sz="4" w:space="0"/>
            </w:tcBorders>
            <w:shd w:val="clear" w:color="000000" w:fill="FFFFFF"/>
            <w:noWrap/>
            <w:vAlign w:val="center"/>
          </w:tcPr>
          <w:p w14:paraId="418ABD8E">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530" w:type="pct"/>
            <w:tcBorders>
              <w:top w:val="nil"/>
              <w:left w:val="nil"/>
              <w:bottom w:val="single" w:color="auto" w:sz="4" w:space="0"/>
              <w:right w:val="single" w:color="auto" w:sz="4" w:space="0"/>
            </w:tcBorders>
            <w:shd w:val="clear" w:color="auto" w:fill="auto"/>
            <w:noWrap/>
            <w:vAlign w:val="center"/>
          </w:tcPr>
          <w:p w14:paraId="318CD93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6.70</w:t>
            </w:r>
          </w:p>
        </w:tc>
        <w:tc>
          <w:tcPr>
            <w:tcW w:w="865" w:type="pct"/>
            <w:tcBorders>
              <w:top w:val="nil"/>
              <w:left w:val="nil"/>
              <w:bottom w:val="single" w:color="auto" w:sz="4" w:space="0"/>
              <w:right w:val="single" w:color="auto" w:sz="4" w:space="0"/>
            </w:tcBorders>
            <w:shd w:val="clear" w:color="auto" w:fill="auto"/>
            <w:noWrap/>
            <w:vAlign w:val="center"/>
          </w:tcPr>
          <w:p w14:paraId="2ABDAE3E">
            <w:pPr>
              <w:keepNext w:val="0"/>
              <w:keepLines w:val="0"/>
              <w:widowControl/>
              <w:suppressLineNumbers w:val="0"/>
              <w:jc w:val="center"/>
              <w:textAlignment w:val="center"/>
              <w:rPr>
                <w:rFonts w:ascii="Times New Roman" w:hAnsi="Times New Roman" w:eastAsia="仿宋_GB2312" w:cs="Times New Roman"/>
                <w:b w:val="0"/>
                <w:bCs w:val="0"/>
                <w:kern w:val="0"/>
                <w:sz w:val="24"/>
                <w:szCs w:val="24"/>
              </w:rPr>
            </w:pPr>
            <w:r>
              <w:rPr>
                <w:rFonts w:hint="eastAsia" w:ascii="宋体" w:hAnsi="宋体" w:eastAsia="宋体" w:cs="宋体"/>
                <w:i w:val="0"/>
                <w:iCs w:val="0"/>
                <w:color w:val="000000"/>
                <w:kern w:val="0"/>
                <w:sz w:val="22"/>
                <w:szCs w:val="22"/>
                <w:u w:val="none"/>
                <w:lang w:val="en-US" w:eastAsia="zh-CN" w:bidi="ar"/>
              </w:rPr>
              <w:t>6.70</w:t>
            </w:r>
          </w:p>
        </w:tc>
        <w:tc>
          <w:tcPr>
            <w:tcW w:w="851" w:type="pct"/>
            <w:tcBorders>
              <w:top w:val="nil"/>
              <w:left w:val="nil"/>
              <w:bottom w:val="single" w:color="auto" w:sz="4" w:space="0"/>
              <w:right w:val="single" w:color="auto" w:sz="4" w:space="0"/>
            </w:tcBorders>
            <w:shd w:val="clear" w:color="auto" w:fill="auto"/>
            <w:noWrap/>
            <w:vAlign w:val="center"/>
          </w:tcPr>
          <w:p w14:paraId="5ADC225E">
            <w:pPr>
              <w:widowControl/>
              <w:jc w:val="center"/>
              <w:rPr>
                <w:rFonts w:ascii="Times New Roman" w:hAnsi="Times New Roman" w:eastAsia="仿宋_GB2312" w:cs="Times New Roman"/>
                <w:b w:val="0"/>
                <w:bCs w:val="0"/>
                <w:kern w:val="0"/>
                <w:sz w:val="24"/>
                <w:szCs w:val="24"/>
              </w:rPr>
            </w:pPr>
          </w:p>
        </w:tc>
        <w:tc>
          <w:tcPr>
            <w:tcW w:w="569" w:type="pct"/>
            <w:tcBorders>
              <w:top w:val="nil"/>
              <w:left w:val="nil"/>
              <w:bottom w:val="single" w:color="auto" w:sz="4" w:space="0"/>
              <w:right w:val="single" w:color="auto" w:sz="4" w:space="0"/>
            </w:tcBorders>
            <w:shd w:val="clear" w:color="auto" w:fill="auto"/>
            <w:noWrap/>
            <w:vAlign w:val="center"/>
          </w:tcPr>
          <w:p w14:paraId="51EF0B2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00" w:type="pct"/>
            <w:tcBorders>
              <w:top w:val="nil"/>
              <w:left w:val="nil"/>
              <w:bottom w:val="single" w:color="auto" w:sz="4" w:space="0"/>
              <w:right w:val="single" w:color="auto" w:sz="4" w:space="0"/>
            </w:tcBorders>
            <w:shd w:val="clear" w:color="auto" w:fill="auto"/>
            <w:noWrap/>
            <w:vAlign w:val="center"/>
          </w:tcPr>
          <w:p w14:paraId="6128125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9" w:type="pct"/>
            <w:tcBorders>
              <w:top w:val="nil"/>
              <w:left w:val="nil"/>
              <w:bottom w:val="single" w:color="auto" w:sz="4" w:space="0"/>
              <w:right w:val="single" w:color="auto" w:sz="4" w:space="0"/>
            </w:tcBorders>
            <w:shd w:val="clear" w:color="auto" w:fill="auto"/>
            <w:noWrap/>
            <w:vAlign w:val="center"/>
          </w:tcPr>
          <w:p w14:paraId="22343FF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8216193">
        <w:tblPrEx>
          <w:tblCellMar>
            <w:top w:w="0" w:type="dxa"/>
            <w:left w:w="108" w:type="dxa"/>
            <w:bottom w:w="0" w:type="dxa"/>
            <w:right w:w="108" w:type="dxa"/>
          </w:tblCellMar>
        </w:tblPrEx>
        <w:trPr>
          <w:trHeight w:val="595" w:hRule="atLeast"/>
          <w:jc w:val="center"/>
        </w:trPr>
        <w:tc>
          <w:tcPr>
            <w:tcW w:w="5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41B89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2100302</w:t>
            </w:r>
          </w:p>
        </w:tc>
        <w:tc>
          <w:tcPr>
            <w:tcW w:w="547" w:type="pct"/>
            <w:tcBorders>
              <w:top w:val="nil"/>
              <w:left w:val="nil"/>
              <w:bottom w:val="single" w:color="auto" w:sz="4" w:space="0"/>
              <w:right w:val="single" w:color="auto" w:sz="4" w:space="0"/>
            </w:tcBorders>
            <w:shd w:val="clear" w:color="000000" w:fill="FFFFFF"/>
            <w:noWrap/>
            <w:vAlign w:val="center"/>
          </w:tcPr>
          <w:p w14:paraId="45CC274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乡镇卫生院</w:t>
            </w:r>
          </w:p>
        </w:tc>
        <w:tc>
          <w:tcPr>
            <w:tcW w:w="530" w:type="pct"/>
            <w:tcBorders>
              <w:top w:val="nil"/>
              <w:left w:val="nil"/>
              <w:bottom w:val="single" w:color="auto" w:sz="4" w:space="0"/>
              <w:right w:val="single" w:color="auto" w:sz="4" w:space="0"/>
            </w:tcBorders>
            <w:shd w:val="clear" w:color="auto" w:fill="auto"/>
            <w:noWrap/>
            <w:vAlign w:val="center"/>
          </w:tcPr>
          <w:p w14:paraId="5B04511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513.16</w:t>
            </w:r>
          </w:p>
        </w:tc>
        <w:tc>
          <w:tcPr>
            <w:tcW w:w="865" w:type="pct"/>
            <w:tcBorders>
              <w:top w:val="nil"/>
              <w:left w:val="nil"/>
              <w:bottom w:val="single" w:color="auto" w:sz="4" w:space="0"/>
              <w:right w:val="single" w:color="auto" w:sz="4" w:space="0"/>
            </w:tcBorders>
            <w:shd w:val="clear" w:color="auto" w:fill="auto"/>
            <w:noWrap/>
            <w:vAlign w:val="center"/>
          </w:tcPr>
          <w:p w14:paraId="1E41DF7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513.16</w:t>
            </w:r>
          </w:p>
        </w:tc>
        <w:tc>
          <w:tcPr>
            <w:tcW w:w="851" w:type="pct"/>
            <w:tcBorders>
              <w:top w:val="nil"/>
              <w:left w:val="nil"/>
              <w:bottom w:val="single" w:color="auto" w:sz="4" w:space="0"/>
              <w:right w:val="single" w:color="auto" w:sz="4" w:space="0"/>
            </w:tcBorders>
            <w:shd w:val="clear" w:color="auto" w:fill="auto"/>
            <w:noWrap/>
            <w:vAlign w:val="center"/>
          </w:tcPr>
          <w:p w14:paraId="1D0B88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192.62</w:t>
            </w:r>
          </w:p>
        </w:tc>
        <w:tc>
          <w:tcPr>
            <w:tcW w:w="569" w:type="pct"/>
            <w:tcBorders>
              <w:top w:val="nil"/>
              <w:left w:val="nil"/>
              <w:bottom w:val="single" w:color="auto" w:sz="4" w:space="0"/>
              <w:right w:val="single" w:color="auto" w:sz="4" w:space="0"/>
            </w:tcBorders>
            <w:shd w:val="clear" w:color="auto" w:fill="auto"/>
            <w:noWrap/>
            <w:vAlign w:val="center"/>
          </w:tcPr>
          <w:p w14:paraId="694E8BA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00" w:type="pct"/>
            <w:tcBorders>
              <w:top w:val="nil"/>
              <w:left w:val="nil"/>
              <w:bottom w:val="single" w:color="auto" w:sz="4" w:space="0"/>
              <w:right w:val="single" w:color="auto" w:sz="4" w:space="0"/>
            </w:tcBorders>
            <w:shd w:val="clear" w:color="auto" w:fill="auto"/>
            <w:noWrap/>
            <w:vAlign w:val="center"/>
          </w:tcPr>
          <w:p w14:paraId="1F4819B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9" w:type="pct"/>
            <w:tcBorders>
              <w:top w:val="nil"/>
              <w:left w:val="nil"/>
              <w:bottom w:val="single" w:color="auto" w:sz="4" w:space="0"/>
              <w:right w:val="single" w:color="auto" w:sz="4" w:space="0"/>
            </w:tcBorders>
            <w:shd w:val="clear" w:color="auto" w:fill="auto"/>
            <w:noWrap/>
            <w:vAlign w:val="center"/>
          </w:tcPr>
          <w:p w14:paraId="33CEFDE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45A9A57">
        <w:tblPrEx>
          <w:tblCellMar>
            <w:top w:w="0" w:type="dxa"/>
            <w:left w:w="108" w:type="dxa"/>
            <w:bottom w:w="0" w:type="dxa"/>
            <w:right w:w="108" w:type="dxa"/>
          </w:tblCellMar>
        </w:tblPrEx>
        <w:trPr>
          <w:trHeight w:val="595" w:hRule="atLeast"/>
          <w:jc w:val="center"/>
        </w:trPr>
        <w:tc>
          <w:tcPr>
            <w:tcW w:w="5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5526E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2100399</w:t>
            </w:r>
          </w:p>
        </w:tc>
        <w:tc>
          <w:tcPr>
            <w:tcW w:w="547" w:type="pct"/>
            <w:tcBorders>
              <w:top w:val="nil"/>
              <w:left w:val="nil"/>
              <w:bottom w:val="single" w:color="auto" w:sz="4" w:space="0"/>
              <w:right w:val="single" w:color="auto" w:sz="4" w:space="0"/>
            </w:tcBorders>
            <w:shd w:val="clear" w:color="000000" w:fill="FFFFFF"/>
            <w:noWrap/>
            <w:vAlign w:val="center"/>
          </w:tcPr>
          <w:p w14:paraId="238DD42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530" w:type="pct"/>
            <w:tcBorders>
              <w:top w:val="nil"/>
              <w:left w:val="nil"/>
              <w:bottom w:val="single" w:color="auto" w:sz="4" w:space="0"/>
              <w:right w:val="single" w:color="auto" w:sz="4" w:space="0"/>
            </w:tcBorders>
            <w:shd w:val="clear" w:color="auto" w:fill="auto"/>
            <w:noWrap/>
            <w:vAlign w:val="center"/>
          </w:tcPr>
          <w:p w14:paraId="58D9CEB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47.22</w:t>
            </w:r>
          </w:p>
        </w:tc>
        <w:tc>
          <w:tcPr>
            <w:tcW w:w="865" w:type="pct"/>
            <w:tcBorders>
              <w:top w:val="nil"/>
              <w:left w:val="nil"/>
              <w:bottom w:val="single" w:color="auto" w:sz="4" w:space="0"/>
              <w:right w:val="single" w:color="auto" w:sz="4" w:space="0"/>
            </w:tcBorders>
            <w:shd w:val="clear" w:color="auto" w:fill="auto"/>
            <w:noWrap/>
            <w:vAlign w:val="center"/>
          </w:tcPr>
          <w:p w14:paraId="1C4D0D9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47.22</w:t>
            </w:r>
          </w:p>
        </w:tc>
        <w:tc>
          <w:tcPr>
            <w:tcW w:w="851" w:type="pct"/>
            <w:tcBorders>
              <w:top w:val="nil"/>
              <w:left w:val="nil"/>
              <w:bottom w:val="single" w:color="auto" w:sz="4" w:space="0"/>
              <w:right w:val="single" w:color="auto" w:sz="4" w:space="0"/>
            </w:tcBorders>
            <w:shd w:val="clear" w:color="auto" w:fill="auto"/>
            <w:noWrap/>
            <w:vAlign w:val="center"/>
          </w:tcPr>
          <w:p w14:paraId="36463EEE">
            <w:pPr>
              <w:widowControl/>
              <w:jc w:val="center"/>
              <w:rPr>
                <w:rFonts w:ascii="Times New Roman" w:hAnsi="Times New Roman" w:eastAsia="仿宋_GB2312" w:cs="Times New Roman"/>
                <w:kern w:val="0"/>
                <w:sz w:val="24"/>
                <w:szCs w:val="24"/>
              </w:rPr>
            </w:pPr>
          </w:p>
        </w:tc>
        <w:tc>
          <w:tcPr>
            <w:tcW w:w="569" w:type="pct"/>
            <w:tcBorders>
              <w:top w:val="nil"/>
              <w:left w:val="nil"/>
              <w:bottom w:val="single" w:color="auto" w:sz="4" w:space="0"/>
              <w:right w:val="single" w:color="auto" w:sz="4" w:space="0"/>
            </w:tcBorders>
            <w:shd w:val="clear" w:color="auto" w:fill="auto"/>
            <w:noWrap/>
            <w:vAlign w:val="center"/>
          </w:tcPr>
          <w:p w14:paraId="5711E01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00" w:type="pct"/>
            <w:tcBorders>
              <w:top w:val="nil"/>
              <w:left w:val="nil"/>
              <w:bottom w:val="single" w:color="auto" w:sz="4" w:space="0"/>
              <w:right w:val="single" w:color="auto" w:sz="4" w:space="0"/>
            </w:tcBorders>
            <w:shd w:val="clear" w:color="auto" w:fill="auto"/>
            <w:noWrap/>
            <w:vAlign w:val="center"/>
          </w:tcPr>
          <w:p w14:paraId="2C928BB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9" w:type="pct"/>
            <w:tcBorders>
              <w:top w:val="nil"/>
              <w:left w:val="nil"/>
              <w:bottom w:val="single" w:color="auto" w:sz="4" w:space="0"/>
              <w:right w:val="single" w:color="auto" w:sz="4" w:space="0"/>
            </w:tcBorders>
            <w:shd w:val="clear" w:color="auto" w:fill="auto"/>
            <w:noWrap/>
            <w:vAlign w:val="center"/>
          </w:tcPr>
          <w:p w14:paraId="1530985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83BBB15">
        <w:tblPrEx>
          <w:tblCellMar>
            <w:top w:w="0" w:type="dxa"/>
            <w:left w:w="108" w:type="dxa"/>
            <w:bottom w:w="0" w:type="dxa"/>
            <w:right w:w="108" w:type="dxa"/>
          </w:tblCellMar>
        </w:tblPrEx>
        <w:trPr>
          <w:trHeight w:val="595" w:hRule="atLeast"/>
          <w:jc w:val="center"/>
        </w:trPr>
        <w:tc>
          <w:tcPr>
            <w:tcW w:w="5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ECFC1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2100408</w:t>
            </w:r>
          </w:p>
        </w:tc>
        <w:tc>
          <w:tcPr>
            <w:tcW w:w="547" w:type="pct"/>
            <w:tcBorders>
              <w:top w:val="nil"/>
              <w:left w:val="nil"/>
              <w:bottom w:val="nil"/>
              <w:right w:val="single" w:color="auto" w:sz="4" w:space="0"/>
            </w:tcBorders>
            <w:shd w:val="clear" w:color="000000" w:fill="FFFFFF"/>
            <w:noWrap/>
            <w:vAlign w:val="center"/>
          </w:tcPr>
          <w:p w14:paraId="51B45A7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基本公共卫生服务</w:t>
            </w:r>
          </w:p>
        </w:tc>
        <w:tc>
          <w:tcPr>
            <w:tcW w:w="530" w:type="pct"/>
            <w:tcBorders>
              <w:top w:val="nil"/>
              <w:left w:val="nil"/>
              <w:bottom w:val="nil"/>
              <w:right w:val="single" w:color="auto" w:sz="4" w:space="0"/>
            </w:tcBorders>
            <w:shd w:val="clear" w:color="auto" w:fill="auto"/>
            <w:noWrap/>
            <w:vAlign w:val="center"/>
          </w:tcPr>
          <w:p w14:paraId="52C01C7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192.62</w:t>
            </w:r>
          </w:p>
        </w:tc>
        <w:tc>
          <w:tcPr>
            <w:tcW w:w="865" w:type="pct"/>
            <w:tcBorders>
              <w:top w:val="nil"/>
              <w:left w:val="nil"/>
              <w:bottom w:val="nil"/>
              <w:right w:val="single" w:color="auto" w:sz="4" w:space="0"/>
            </w:tcBorders>
            <w:shd w:val="clear" w:color="auto" w:fill="auto"/>
            <w:noWrap/>
            <w:vAlign w:val="center"/>
          </w:tcPr>
          <w:p w14:paraId="182E3B84">
            <w:pPr>
              <w:jc w:val="center"/>
              <w:rPr>
                <w:rFonts w:ascii="Times New Roman" w:hAnsi="Times New Roman" w:eastAsia="仿宋_GB2312" w:cs="Times New Roman"/>
                <w:kern w:val="0"/>
                <w:sz w:val="24"/>
                <w:szCs w:val="24"/>
              </w:rPr>
            </w:pPr>
          </w:p>
        </w:tc>
        <w:tc>
          <w:tcPr>
            <w:tcW w:w="851" w:type="pct"/>
            <w:tcBorders>
              <w:top w:val="nil"/>
              <w:left w:val="nil"/>
              <w:bottom w:val="nil"/>
              <w:right w:val="single" w:color="auto" w:sz="4" w:space="0"/>
            </w:tcBorders>
            <w:shd w:val="clear" w:color="auto" w:fill="auto"/>
            <w:noWrap/>
            <w:vAlign w:val="center"/>
          </w:tcPr>
          <w:p w14:paraId="67267148">
            <w:pPr>
              <w:widowControl/>
              <w:jc w:val="center"/>
              <w:rPr>
                <w:rFonts w:ascii="Times New Roman" w:hAnsi="Times New Roman" w:eastAsia="仿宋_GB2312" w:cs="Times New Roman"/>
                <w:kern w:val="0"/>
                <w:sz w:val="24"/>
                <w:szCs w:val="24"/>
              </w:rPr>
            </w:pPr>
          </w:p>
        </w:tc>
        <w:tc>
          <w:tcPr>
            <w:tcW w:w="569" w:type="pct"/>
            <w:tcBorders>
              <w:top w:val="nil"/>
              <w:left w:val="nil"/>
              <w:bottom w:val="nil"/>
              <w:right w:val="single" w:color="auto" w:sz="4" w:space="0"/>
            </w:tcBorders>
            <w:shd w:val="clear" w:color="auto" w:fill="auto"/>
            <w:noWrap/>
            <w:vAlign w:val="center"/>
          </w:tcPr>
          <w:p w14:paraId="2C3BAC8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00" w:type="pct"/>
            <w:tcBorders>
              <w:top w:val="nil"/>
              <w:left w:val="nil"/>
              <w:bottom w:val="nil"/>
              <w:right w:val="single" w:color="auto" w:sz="4" w:space="0"/>
            </w:tcBorders>
            <w:shd w:val="clear" w:color="auto" w:fill="auto"/>
            <w:noWrap/>
            <w:vAlign w:val="center"/>
          </w:tcPr>
          <w:p w14:paraId="7D05A19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9" w:type="pct"/>
            <w:tcBorders>
              <w:top w:val="nil"/>
              <w:left w:val="nil"/>
              <w:bottom w:val="nil"/>
              <w:right w:val="single" w:color="auto" w:sz="4" w:space="0"/>
            </w:tcBorders>
            <w:shd w:val="clear" w:color="auto" w:fill="auto"/>
            <w:noWrap/>
            <w:vAlign w:val="center"/>
          </w:tcPr>
          <w:p w14:paraId="66794FE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D58C989">
        <w:tblPrEx>
          <w:tblCellMar>
            <w:top w:w="0" w:type="dxa"/>
            <w:left w:w="108" w:type="dxa"/>
            <w:bottom w:w="0" w:type="dxa"/>
            <w:right w:w="108" w:type="dxa"/>
          </w:tblCellMar>
        </w:tblPrEx>
        <w:trPr>
          <w:trHeight w:val="595" w:hRule="atLeast"/>
          <w:jc w:val="center"/>
        </w:trPr>
        <w:tc>
          <w:tcPr>
            <w:tcW w:w="5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59708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547" w:type="pct"/>
            <w:tcBorders>
              <w:top w:val="nil"/>
              <w:left w:val="nil"/>
              <w:bottom w:val="single" w:color="auto" w:sz="4" w:space="0"/>
              <w:right w:val="single" w:color="auto" w:sz="4" w:space="0"/>
            </w:tcBorders>
            <w:shd w:val="clear" w:color="000000" w:fill="FFFFFF"/>
            <w:noWrap/>
            <w:vAlign w:val="center"/>
          </w:tcPr>
          <w:p w14:paraId="210CBBC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530" w:type="pct"/>
            <w:tcBorders>
              <w:top w:val="nil"/>
              <w:left w:val="nil"/>
              <w:bottom w:val="single" w:color="auto" w:sz="4" w:space="0"/>
              <w:right w:val="single" w:color="auto" w:sz="4" w:space="0"/>
            </w:tcBorders>
            <w:shd w:val="clear" w:color="auto" w:fill="auto"/>
            <w:noWrap/>
            <w:vAlign w:val="center"/>
          </w:tcPr>
          <w:p w14:paraId="334BCD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7.48</w:t>
            </w:r>
          </w:p>
        </w:tc>
        <w:tc>
          <w:tcPr>
            <w:tcW w:w="865" w:type="pct"/>
            <w:tcBorders>
              <w:top w:val="nil"/>
              <w:left w:val="nil"/>
              <w:bottom w:val="single" w:color="auto" w:sz="4" w:space="0"/>
              <w:right w:val="single" w:color="auto" w:sz="4" w:space="0"/>
            </w:tcBorders>
            <w:shd w:val="clear" w:color="auto" w:fill="auto"/>
            <w:noWrap/>
            <w:vAlign w:val="center"/>
          </w:tcPr>
          <w:p w14:paraId="5F5385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7.48</w:t>
            </w:r>
          </w:p>
        </w:tc>
        <w:tc>
          <w:tcPr>
            <w:tcW w:w="851" w:type="pct"/>
            <w:tcBorders>
              <w:top w:val="nil"/>
              <w:left w:val="nil"/>
              <w:bottom w:val="single" w:color="auto" w:sz="4" w:space="0"/>
              <w:right w:val="single" w:color="auto" w:sz="4" w:space="0"/>
            </w:tcBorders>
            <w:shd w:val="clear" w:color="auto" w:fill="auto"/>
            <w:noWrap/>
            <w:vAlign w:val="center"/>
          </w:tcPr>
          <w:p w14:paraId="1763C23B">
            <w:pPr>
              <w:widowControl/>
              <w:jc w:val="center"/>
              <w:rPr>
                <w:rFonts w:ascii="Times New Roman" w:hAnsi="Times New Roman" w:eastAsia="仿宋_GB2312" w:cs="Times New Roman"/>
                <w:kern w:val="0"/>
                <w:sz w:val="24"/>
                <w:szCs w:val="24"/>
              </w:rPr>
            </w:pPr>
          </w:p>
        </w:tc>
        <w:tc>
          <w:tcPr>
            <w:tcW w:w="569" w:type="pct"/>
            <w:tcBorders>
              <w:top w:val="nil"/>
              <w:left w:val="nil"/>
              <w:bottom w:val="single" w:color="auto" w:sz="4" w:space="0"/>
              <w:right w:val="single" w:color="auto" w:sz="4" w:space="0"/>
            </w:tcBorders>
            <w:shd w:val="clear" w:color="auto" w:fill="auto"/>
            <w:noWrap/>
            <w:vAlign w:val="center"/>
          </w:tcPr>
          <w:p w14:paraId="294BC421">
            <w:pPr>
              <w:widowControl/>
              <w:jc w:val="right"/>
              <w:rPr>
                <w:rFonts w:ascii="Times New Roman" w:hAnsi="Times New Roman" w:eastAsia="仿宋_GB2312" w:cs="Times New Roman"/>
                <w:kern w:val="0"/>
                <w:sz w:val="24"/>
                <w:szCs w:val="24"/>
              </w:rPr>
            </w:pPr>
          </w:p>
        </w:tc>
        <w:tc>
          <w:tcPr>
            <w:tcW w:w="300" w:type="pct"/>
            <w:tcBorders>
              <w:top w:val="nil"/>
              <w:left w:val="nil"/>
              <w:bottom w:val="single" w:color="auto" w:sz="4" w:space="0"/>
              <w:right w:val="single" w:color="auto" w:sz="4" w:space="0"/>
            </w:tcBorders>
            <w:shd w:val="clear" w:color="auto" w:fill="auto"/>
            <w:noWrap/>
            <w:vAlign w:val="center"/>
          </w:tcPr>
          <w:p w14:paraId="7AD19B67">
            <w:pPr>
              <w:widowControl/>
              <w:jc w:val="right"/>
              <w:rPr>
                <w:rFonts w:ascii="Times New Roman" w:hAnsi="Times New Roman" w:eastAsia="仿宋_GB2312" w:cs="Times New Roman"/>
                <w:kern w:val="0"/>
                <w:sz w:val="24"/>
                <w:szCs w:val="24"/>
              </w:rPr>
            </w:pPr>
          </w:p>
        </w:tc>
        <w:tc>
          <w:tcPr>
            <w:tcW w:w="819" w:type="pct"/>
            <w:tcBorders>
              <w:top w:val="nil"/>
              <w:left w:val="nil"/>
              <w:bottom w:val="single" w:color="auto" w:sz="4" w:space="0"/>
              <w:right w:val="single" w:color="auto" w:sz="4" w:space="0"/>
            </w:tcBorders>
            <w:shd w:val="clear" w:color="auto" w:fill="auto"/>
            <w:noWrap/>
            <w:vAlign w:val="center"/>
          </w:tcPr>
          <w:p w14:paraId="3C188B8E">
            <w:pPr>
              <w:widowControl/>
              <w:jc w:val="right"/>
              <w:rPr>
                <w:rFonts w:ascii="Times New Roman" w:hAnsi="Times New Roman" w:eastAsia="仿宋_GB2312" w:cs="Times New Roman"/>
                <w:kern w:val="0"/>
                <w:sz w:val="24"/>
                <w:szCs w:val="24"/>
              </w:rPr>
            </w:pPr>
          </w:p>
        </w:tc>
      </w:tr>
    </w:tbl>
    <w:p w14:paraId="40B4241D">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6BEBCA9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2F99B44">
      <w:pPr>
        <w:widowControl/>
        <w:spacing w:line="400" w:lineRule="exact"/>
        <w:jc w:val="center"/>
        <w:textAlignment w:val="center"/>
        <w:rPr>
          <w:rFonts w:ascii="Times New Roman" w:hAnsi="Times New Roman" w:eastAsia="黑体" w:cs="Times New Roman"/>
          <w:color w:val="000000"/>
          <w:kern w:val="0"/>
          <w:sz w:val="32"/>
          <w:szCs w:val="32"/>
        </w:rPr>
      </w:pPr>
    </w:p>
    <w:p w14:paraId="7B8F03AF">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42AF93D8">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5B46C0B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蓝山县太平圩镇卫生院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76"/>
        <w:gridCol w:w="2636"/>
        <w:gridCol w:w="616"/>
        <w:gridCol w:w="1096"/>
        <w:gridCol w:w="1665"/>
        <w:gridCol w:w="1545"/>
        <w:gridCol w:w="1654"/>
      </w:tblGrid>
      <w:tr w14:paraId="329971AE">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5B9E2D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6FC92CD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0768F078">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B8F1F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371497E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7D87A3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5476D9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2D9FA6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A32C94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19A1C2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3B59DB2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779327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33B5CC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9EA2F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50C61F1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5274BFB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37CA219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50653C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1E035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5CF4A6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4D2661F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7C8CA8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091B19F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21D9A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F7132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6E0DE6B5">
            <w:pPr>
              <w:widowControl/>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448.02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7CAB1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1BAB88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2BD2D5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3053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A93A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2562E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EB5665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DBC97C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4FC99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422ADAA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85581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730B37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30A128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C2DD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02CB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B47F6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F99C6A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B9C3E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4CDA8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5F004CC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8AB95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6A0F44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16D30C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C0EC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C36A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D2C8F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E37C722">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52FA87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9D7F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105E0B2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F6F88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09FC457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025B56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B7B9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C4B8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1BA25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FC002F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A7A50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78BE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702443E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7C6D0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4D522B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15C955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9D5E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02CD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242CB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8C3CF0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1BDA80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CDD9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6F6C842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98E00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26A2F1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0C02BD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8ADB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4404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535F6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7821F9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916649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A981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4FE65B0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F76AA6">
            <w:pPr>
              <w:widowControl/>
              <w:jc w:val="left"/>
              <w:rPr>
                <w:rFonts w:ascii="Times New Roman" w:hAnsi="Times New Roman" w:eastAsia="仿宋_GB2312" w:cs="Times New Roman"/>
                <w:kern w:val="0"/>
                <w:sz w:val="24"/>
                <w:szCs w:val="24"/>
              </w:rPr>
            </w:pPr>
            <w:r>
              <w:rPr>
                <w:rFonts w:hint="eastAsia" w:eastAsia="仿宋_GB2312"/>
                <w:kern w:val="0"/>
                <w:szCs w:val="21"/>
              </w:rPr>
              <w:t>七、</w:t>
            </w:r>
            <w:r>
              <w:rPr>
                <w:rFonts w:hint="eastAsia" w:eastAsia="仿宋_GB2312"/>
                <w:kern w:val="0"/>
                <w:szCs w:val="21"/>
                <w:lang w:eastAsia="zh-CN"/>
              </w:rPr>
              <w:t>卫生健康支出</w:t>
            </w:r>
          </w:p>
        </w:tc>
        <w:tc>
          <w:tcPr>
            <w:tcW w:w="0" w:type="auto"/>
            <w:tcBorders>
              <w:top w:val="nil"/>
              <w:left w:val="nil"/>
              <w:bottom w:val="single" w:color="auto" w:sz="4" w:space="0"/>
              <w:right w:val="single" w:color="auto" w:sz="4" w:space="0"/>
            </w:tcBorders>
            <w:shd w:val="clear" w:color="auto" w:fill="auto"/>
            <w:noWrap/>
            <w:vAlign w:val="center"/>
          </w:tcPr>
          <w:p w14:paraId="6582C1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45407B5D">
            <w:pPr>
              <w:widowControl/>
              <w:jc w:val="center"/>
              <w:rPr>
                <w:rFonts w:hint="default" w:ascii="Times New Roman" w:hAnsi="Times New Roman" w:eastAsia="仿宋_GB2312" w:cs="Times New Roman"/>
                <w:kern w:val="0"/>
                <w:sz w:val="22"/>
                <w:lang w:val="en-US"/>
              </w:rPr>
            </w:pPr>
            <w:r>
              <w:rPr>
                <w:rFonts w:hint="eastAsia" w:ascii="宋体" w:hAnsi="宋体" w:eastAsia="宋体" w:cs="宋体"/>
                <w:i w:val="0"/>
                <w:iCs w:val="0"/>
                <w:color w:val="000000"/>
                <w:kern w:val="0"/>
                <w:sz w:val="22"/>
                <w:szCs w:val="22"/>
                <w:u w:val="none"/>
                <w:lang w:val="en-US" w:eastAsia="zh-CN" w:bidi="ar"/>
              </w:rPr>
              <w:t>417.15</w:t>
            </w:r>
          </w:p>
        </w:tc>
        <w:tc>
          <w:tcPr>
            <w:tcW w:w="0" w:type="auto"/>
            <w:tcBorders>
              <w:top w:val="nil"/>
              <w:left w:val="nil"/>
              <w:bottom w:val="single" w:color="auto" w:sz="4" w:space="0"/>
              <w:right w:val="single" w:color="auto" w:sz="4" w:space="0"/>
            </w:tcBorders>
            <w:shd w:val="clear" w:color="auto" w:fill="auto"/>
            <w:noWrap/>
            <w:vAlign w:val="center"/>
          </w:tcPr>
          <w:p w14:paraId="63D44047">
            <w:pPr>
              <w:widowControl/>
              <w:jc w:val="center"/>
              <w:rPr>
                <w:rFonts w:hint="default" w:ascii="Times New Roman" w:hAnsi="Times New Roman" w:eastAsia="仿宋_GB2312" w:cs="Times New Roman"/>
                <w:kern w:val="0"/>
                <w:sz w:val="22"/>
                <w:lang w:val="en-US"/>
              </w:rPr>
            </w:pPr>
            <w:r>
              <w:rPr>
                <w:rFonts w:hint="eastAsia" w:ascii="宋体" w:hAnsi="宋体" w:eastAsia="宋体" w:cs="宋体"/>
                <w:i w:val="0"/>
                <w:iCs w:val="0"/>
                <w:color w:val="000000"/>
                <w:kern w:val="0"/>
                <w:sz w:val="22"/>
                <w:szCs w:val="22"/>
                <w:u w:val="none"/>
                <w:lang w:val="en-US" w:eastAsia="zh-CN" w:bidi="ar"/>
              </w:rPr>
              <w:t>417.15</w:t>
            </w:r>
          </w:p>
        </w:tc>
        <w:tc>
          <w:tcPr>
            <w:tcW w:w="0" w:type="auto"/>
            <w:tcBorders>
              <w:top w:val="nil"/>
              <w:left w:val="nil"/>
              <w:bottom w:val="single" w:color="auto" w:sz="4" w:space="0"/>
              <w:right w:val="single" w:color="auto" w:sz="4" w:space="0"/>
            </w:tcBorders>
            <w:shd w:val="clear" w:color="auto" w:fill="auto"/>
            <w:noWrap/>
            <w:vAlign w:val="center"/>
          </w:tcPr>
          <w:p w14:paraId="54AEA5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9226F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61D933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F6A723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E95E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04D63B7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4C80AB">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eastAsia="zh-CN"/>
              </w:rPr>
              <w:t>八、</w:t>
            </w:r>
            <w:r>
              <w:rPr>
                <w:rFonts w:hint="eastAsia" w:ascii="Times New Roman" w:hAnsi="Times New Roman" w:eastAsia="仿宋_GB2312" w:cs="Times New Roman"/>
                <w:color w:val="000000"/>
                <w:sz w:val="22"/>
              </w:rPr>
              <w:t>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14C75E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1C186B4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30.87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E885D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30.87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1532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810F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C6B0BF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DC37A1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67528C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1DE083A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2C544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1EDA51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51EA9E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CA9F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A9E3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3A5FD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310C35E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66311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CBD0A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4DDC443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0616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3DD255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4AA1CC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2AE5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E394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E81F2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9995DD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3D3A0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4B574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59F3F97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44E48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0FD8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187038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FB64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C235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872F2F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B2A81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0EB89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725766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79C8C8B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F9B05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758E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0E4C8A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AC66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152C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AD681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F95696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08AA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319BAC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3D7A703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2235B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8005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459A83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0A31A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18F5B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FD28E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9BD44B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C2D3AC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E2FE1D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75B797A3">
            <w:pPr>
              <w:widowControl/>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448.02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61D1279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515DAF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102D69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宋体" w:hAnsi="宋体" w:eastAsia="宋体" w:cs="宋体"/>
                <w:i w:val="0"/>
                <w:iCs w:val="0"/>
                <w:color w:val="000000"/>
                <w:kern w:val="0"/>
                <w:sz w:val="22"/>
                <w:szCs w:val="22"/>
                <w:u w:val="none"/>
                <w:lang w:val="en-US" w:eastAsia="zh-CN" w:bidi="ar"/>
              </w:rPr>
              <w:t>448.02</w:t>
            </w:r>
          </w:p>
        </w:tc>
        <w:tc>
          <w:tcPr>
            <w:tcW w:w="0" w:type="auto"/>
            <w:tcBorders>
              <w:top w:val="nil"/>
              <w:left w:val="nil"/>
              <w:bottom w:val="single" w:color="auto" w:sz="4" w:space="0"/>
              <w:right w:val="single" w:color="auto" w:sz="4" w:space="0"/>
            </w:tcBorders>
            <w:shd w:val="clear" w:color="000000" w:fill="FFFFFF"/>
            <w:noWrap/>
            <w:vAlign w:val="center"/>
          </w:tcPr>
          <w:p w14:paraId="77D269E5">
            <w:pPr>
              <w:widowControl/>
              <w:jc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448.02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6C1CF8">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CED20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2CC32A1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719C928">
      <w:pPr>
        <w:widowControl/>
        <w:jc w:val="center"/>
        <w:rPr>
          <w:rFonts w:ascii="Times New Roman" w:hAnsi="Times New Roman" w:eastAsia="方正小标宋_GBK" w:cs="Times New Roman"/>
          <w:kern w:val="0"/>
          <w:sz w:val="36"/>
          <w:szCs w:val="36"/>
        </w:rPr>
      </w:pPr>
    </w:p>
    <w:p w14:paraId="7F1778EC">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186E6559">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sz w:val="20"/>
          <w:szCs w:val="20"/>
          <w:lang w:eastAsia="zh-CN"/>
        </w:rPr>
        <w:t>蓝山县太平圩镇卫生院</w:t>
      </w:r>
      <w:r>
        <w:rPr>
          <w:rFonts w:ascii="Times New Roman" w:hAnsi="Times New Roman" w:eastAsia="仿宋_GB2312" w:cs="Times New Roman"/>
          <w:color w:val="000000"/>
          <w:kern w:val="0"/>
          <w:szCs w:val="21"/>
        </w:rPr>
        <w:t xml:space="preserve">                                                                                                     公开05表</w:t>
      </w:r>
    </w:p>
    <w:p w14:paraId="7EE122E0">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29AC4C8">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5560E7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7FC940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6611B37">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C2C0AA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009C67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194EC7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22FE36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379A0B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194453E">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80C274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3BBB95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F793C1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557B94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D6C3124">
            <w:pPr>
              <w:widowControl/>
              <w:jc w:val="left"/>
              <w:rPr>
                <w:rFonts w:ascii="Times New Roman" w:hAnsi="Times New Roman" w:eastAsia="仿宋_GB2312" w:cs="Times New Roman"/>
                <w:kern w:val="0"/>
                <w:szCs w:val="21"/>
              </w:rPr>
            </w:pPr>
          </w:p>
        </w:tc>
      </w:tr>
      <w:tr w14:paraId="63DEBBB6">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CE1676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491B52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6C6DEC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BC854B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7D1D623">
            <w:pPr>
              <w:widowControl/>
              <w:jc w:val="left"/>
              <w:rPr>
                <w:rFonts w:ascii="Times New Roman" w:hAnsi="Times New Roman" w:eastAsia="仿宋_GB2312" w:cs="Times New Roman"/>
                <w:kern w:val="0"/>
                <w:szCs w:val="21"/>
              </w:rPr>
            </w:pPr>
          </w:p>
        </w:tc>
      </w:tr>
      <w:tr w14:paraId="0907D0C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90D80F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87DFF3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58BDD9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0DEF03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CB05DB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23912B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0AC57739">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448.02</w:t>
            </w:r>
          </w:p>
        </w:tc>
        <w:tc>
          <w:tcPr>
            <w:tcW w:w="3492" w:type="dxa"/>
            <w:tcBorders>
              <w:top w:val="nil"/>
              <w:left w:val="nil"/>
              <w:bottom w:val="single" w:color="auto" w:sz="4" w:space="0"/>
              <w:right w:val="single" w:color="auto" w:sz="4" w:space="0"/>
            </w:tcBorders>
            <w:shd w:val="clear" w:color="auto" w:fill="auto"/>
            <w:vAlign w:val="center"/>
          </w:tcPr>
          <w:p w14:paraId="06E89683">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255.41</w:t>
            </w:r>
          </w:p>
        </w:tc>
        <w:tc>
          <w:tcPr>
            <w:tcW w:w="3000" w:type="dxa"/>
            <w:tcBorders>
              <w:top w:val="nil"/>
              <w:left w:val="nil"/>
              <w:bottom w:val="single" w:color="auto" w:sz="4" w:space="0"/>
              <w:right w:val="single" w:color="auto" w:sz="8" w:space="0"/>
            </w:tcBorders>
            <w:shd w:val="clear" w:color="auto" w:fill="auto"/>
            <w:vAlign w:val="center"/>
          </w:tcPr>
          <w:p w14:paraId="71998411">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192.62</w:t>
            </w:r>
          </w:p>
        </w:tc>
      </w:tr>
      <w:tr w14:paraId="34C8222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866C43">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2BB51D84">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604C5F7F">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iCs w:val="0"/>
                <w:color w:val="000000"/>
                <w:kern w:val="0"/>
                <w:sz w:val="22"/>
                <w:szCs w:val="22"/>
                <w:u w:val="none"/>
                <w:lang w:val="en-US" w:eastAsia="zh-CN" w:bidi="ar"/>
              </w:rPr>
              <w:t>23.00</w:t>
            </w:r>
          </w:p>
        </w:tc>
        <w:tc>
          <w:tcPr>
            <w:tcW w:w="3492" w:type="dxa"/>
            <w:tcBorders>
              <w:top w:val="nil"/>
              <w:left w:val="nil"/>
              <w:bottom w:val="single" w:color="auto" w:sz="4" w:space="0"/>
              <w:right w:val="single" w:color="auto" w:sz="4" w:space="0"/>
            </w:tcBorders>
            <w:shd w:val="clear" w:color="auto" w:fill="auto"/>
            <w:vAlign w:val="center"/>
          </w:tcPr>
          <w:p w14:paraId="0A2DFCB9">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iCs w:val="0"/>
                <w:color w:val="000000"/>
                <w:kern w:val="0"/>
                <w:sz w:val="22"/>
                <w:szCs w:val="22"/>
                <w:u w:val="none"/>
                <w:lang w:val="en-US" w:eastAsia="zh-CN" w:bidi="ar"/>
              </w:rPr>
              <w:t>23.00</w:t>
            </w:r>
          </w:p>
        </w:tc>
        <w:tc>
          <w:tcPr>
            <w:tcW w:w="3000" w:type="dxa"/>
            <w:tcBorders>
              <w:top w:val="nil"/>
              <w:left w:val="nil"/>
              <w:bottom w:val="single" w:color="auto" w:sz="4" w:space="0"/>
              <w:right w:val="single" w:color="auto" w:sz="8" w:space="0"/>
            </w:tcBorders>
            <w:shd w:val="clear" w:color="auto" w:fill="auto"/>
            <w:vAlign w:val="center"/>
          </w:tcPr>
          <w:p w14:paraId="080B6177">
            <w:pPr>
              <w:jc w:val="center"/>
              <w:rPr>
                <w:rFonts w:hint="default" w:ascii="Times New Roman" w:hAnsi="Times New Roman" w:eastAsia="仿宋_GB2312" w:cs="Times New Roman"/>
                <w:kern w:val="0"/>
                <w:szCs w:val="21"/>
                <w:lang w:val="en-US" w:eastAsia="zh-CN"/>
              </w:rPr>
            </w:pPr>
          </w:p>
        </w:tc>
      </w:tr>
      <w:tr w14:paraId="709390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2848254">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3527" w:type="dxa"/>
            <w:tcBorders>
              <w:top w:val="nil"/>
              <w:left w:val="nil"/>
              <w:bottom w:val="single" w:color="auto" w:sz="4" w:space="0"/>
              <w:right w:val="single" w:color="auto" w:sz="4" w:space="0"/>
            </w:tcBorders>
            <w:shd w:val="clear" w:color="auto" w:fill="auto"/>
            <w:vAlign w:val="center"/>
          </w:tcPr>
          <w:p w14:paraId="635EEAF2">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385133B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1.18</w:t>
            </w:r>
          </w:p>
        </w:tc>
        <w:tc>
          <w:tcPr>
            <w:tcW w:w="3492" w:type="dxa"/>
            <w:tcBorders>
              <w:top w:val="nil"/>
              <w:left w:val="nil"/>
              <w:bottom w:val="single" w:color="auto" w:sz="4" w:space="0"/>
              <w:right w:val="single" w:color="auto" w:sz="4" w:space="0"/>
            </w:tcBorders>
            <w:shd w:val="clear" w:color="auto" w:fill="auto"/>
            <w:vAlign w:val="center"/>
          </w:tcPr>
          <w:p w14:paraId="5D0547E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1.18</w:t>
            </w:r>
          </w:p>
        </w:tc>
        <w:tc>
          <w:tcPr>
            <w:tcW w:w="3000" w:type="dxa"/>
            <w:tcBorders>
              <w:top w:val="nil"/>
              <w:left w:val="nil"/>
              <w:bottom w:val="single" w:color="auto" w:sz="4" w:space="0"/>
              <w:right w:val="single" w:color="auto" w:sz="8" w:space="0"/>
            </w:tcBorders>
            <w:shd w:val="clear" w:color="auto" w:fill="auto"/>
            <w:vAlign w:val="center"/>
          </w:tcPr>
          <w:p w14:paraId="626C961F">
            <w:pPr>
              <w:jc w:val="center"/>
              <w:rPr>
                <w:rFonts w:ascii="Times New Roman" w:hAnsi="Times New Roman" w:eastAsia="仿宋_GB2312" w:cs="Times New Roman"/>
                <w:kern w:val="0"/>
                <w:szCs w:val="21"/>
              </w:rPr>
            </w:pPr>
          </w:p>
        </w:tc>
      </w:tr>
      <w:tr w14:paraId="1D6A9C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DB33AE">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06A67376">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39026D6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6.70</w:t>
            </w:r>
          </w:p>
        </w:tc>
        <w:tc>
          <w:tcPr>
            <w:tcW w:w="3492" w:type="dxa"/>
            <w:tcBorders>
              <w:top w:val="nil"/>
              <w:left w:val="nil"/>
              <w:bottom w:val="single" w:color="auto" w:sz="4" w:space="0"/>
              <w:right w:val="single" w:color="auto" w:sz="4" w:space="0"/>
            </w:tcBorders>
            <w:shd w:val="clear" w:color="auto" w:fill="auto"/>
            <w:vAlign w:val="center"/>
          </w:tcPr>
          <w:p w14:paraId="426D680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6.70</w:t>
            </w:r>
          </w:p>
        </w:tc>
        <w:tc>
          <w:tcPr>
            <w:tcW w:w="3000" w:type="dxa"/>
            <w:tcBorders>
              <w:top w:val="nil"/>
              <w:left w:val="nil"/>
              <w:bottom w:val="single" w:color="auto" w:sz="4" w:space="0"/>
              <w:right w:val="single" w:color="auto" w:sz="8" w:space="0"/>
            </w:tcBorders>
            <w:shd w:val="clear" w:color="auto" w:fill="auto"/>
            <w:vAlign w:val="center"/>
          </w:tcPr>
          <w:p w14:paraId="3B96431F">
            <w:pPr>
              <w:jc w:val="center"/>
              <w:rPr>
                <w:rFonts w:ascii="Times New Roman" w:hAnsi="Times New Roman" w:eastAsia="仿宋_GB2312" w:cs="Times New Roman"/>
                <w:kern w:val="0"/>
                <w:szCs w:val="21"/>
              </w:rPr>
            </w:pPr>
          </w:p>
        </w:tc>
      </w:tr>
      <w:tr w14:paraId="1A0857AD">
        <w:tblPrEx>
          <w:tblCellMar>
            <w:top w:w="0" w:type="dxa"/>
            <w:left w:w="108" w:type="dxa"/>
            <w:bottom w:w="0" w:type="dxa"/>
            <w:right w:w="108" w:type="dxa"/>
          </w:tblCellMar>
        </w:tblPrEx>
        <w:trPr>
          <w:trHeight w:val="428"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C219B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2100302</w:t>
            </w:r>
          </w:p>
        </w:tc>
        <w:tc>
          <w:tcPr>
            <w:tcW w:w="3527" w:type="dxa"/>
            <w:tcBorders>
              <w:top w:val="nil"/>
              <w:left w:val="nil"/>
              <w:bottom w:val="single" w:color="auto" w:sz="4" w:space="0"/>
              <w:right w:val="single" w:color="auto" w:sz="4" w:space="0"/>
            </w:tcBorders>
            <w:shd w:val="clear" w:color="auto" w:fill="auto"/>
            <w:vAlign w:val="center"/>
          </w:tcPr>
          <w:p w14:paraId="666EF83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乡镇卫生院</w:t>
            </w:r>
          </w:p>
        </w:tc>
        <w:tc>
          <w:tcPr>
            <w:tcW w:w="3000" w:type="dxa"/>
            <w:tcBorders>
              <w:top w:val="nil"/>
              <w:left w:val="nil"/>
              <w:bottom w:val="single" w:color="auto" w:sz="4" w:space="0"/>
              <w:right w:val="single" w:color="auto" w:sz="4" w:space="0"/>
            </w:tcBorders>
            <w:shd w:val="clear" w:color="auto" w:fill="auto"/>
            <w:vAlign w:val="center"/>
          </w:tcPr>
          <w:p w14:paraId="3316C9B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169.84</w:t>
            </w:r>
          </w:p>
        </w:tc>
        <w:tc>
          <w:tcPr>
            <w:tcW w:w="3492" w:type="dxa"/>
            <w:tcBorders>
              <w:top w:val="nil"/>
              <w:left w:val="nil"/>
              <w:bottom w:val="single" w:color="auto" w:sz="4" w:space="0"/>
              <w:right w:val="single" w:color="auto" w:sz="4" w:space="0"/>
            </w:tcBorders>
            <w:shd w:val="clear" w:color="auto" w:fill="auto"/>
            <w:vAlign w:val="center"/>
          </w:tcPr>
          <w:p w14:paraId="5D4D429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169.84</w:t>
            </w:r>
          </w:p>
        </w:tc>
        <w:tc>
          <w:tcPr>
            <w:tcW w:w="3000" w:type="dxa"/>
            <w:tcBorders>
              <w:top w:val="nil"/>
              <w:left w:val="nil"/>
              <w:bottom w:val="single" w:color="auto" w:sz="4" w:space="0"/>
              <w:right w:val="single" w:color="auto" w:sz="8" w:space="0"/>
            </w:tcBorders>
            <w:shd w:val="clear" w:color="auto" w:fill="auto"/>
            <w:vAlign w:val="center"/>
          </w:tcPr>
          <w:p w14:paraId="7F09970F">
            <w:pPr>
              <w:jc w:val="center"/>
              <w:rPr>
                <w:rFonts w:ascii="Times New Roman" w:hAnsi="Times New Roman" w:eastAsia="仿宋_GB2312" w:cs="Times New Roman"/>
                <w:kern w:val="0"/>
                <w:szCs w:val="21"/>
              </w:rPr>
            </w:pPr>
          </w:p>
        </w:tc>
      </w:tr>
      <w:tr w14:paraId="29CB61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6031A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2100399</w:t>
            </w:r>
          </w:p>
        </w:tc>
        <w:tc>
          <w:tcPr>
            <w:tcW w:w="3527" w:type="dxa"/>
            <w:tcBorders>
              <w:top w:val="nil"/>
              <w:left w:val="nil"/>
              <w:bottom w:val="single" w:color="auto" w:sz="4" w:space="0"/>
              <w:right w:val="single" w:color="auto" w:sz="4" w:space="0"/>
            </w:tcBorders>
            <w:shd w:val="clear" w:color="auto" w:fill="auto"/>
            <w:vAlign w:val="center"/>
          </w:tcPr>
          <w:p w14:paraId="6806F2D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3000" w:type="dxa"/>
            <w:tcBorders>
              <w:top w:val="nil"/>
              <w:left w:val="nil"/>
              <w:bottom w:val="single" w:color="auto" w:sz="4" w:space="0"/>
              <w:right w:val="single" w:color="auto" w:sz="4" w:space="0"/>
            </w:tcBorders>
            <w:shd w:val="clear" w:color="auto" w:fill="auto"/>
            <w:vAlign w:val="center"/>
          </w:tcPr>
          <w:p w14:paraId="0D5AE21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47.22</w:t>
            </w:r>
          </w:p>
        </w:tc>
        <w:tc>
          <w:tcPr>
            <w:tcW w:w="3492" w:type="dxa"/>
            <w:tcBorders>
              <w:top w:val="nil"/>
              <w:left w:val="nil"/>
              <w:bottom w:val="single" w:color="auto" w:sz="4" w:space="0"/>
              <w:right w:val="single" w:color="auto" w:sz="4" w:space="0"/>
            </w:tcBorders>
            <w:shd w:val="clear" w:color="auto" w:fill="auto"/>
            <w:vAlign w:val="center"/>
          </w:tcPr>
          <w:p w14:paraId="1027D5D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47.22</w:t>
            </w:r>
          </w:p>
        </w:tc>
        <w:tc>
          <w:tcPr>
            <w:tcW w:w="3000" w:type="dxa"/>
            <w:tcBorders>
              <w:top w:val="nil"/>
              <w:left w:val="nil"/>
              <w:bottom w:val="single" w:color="auto" w:sz="4" w:space="0"/>
              <w:right w:val="single" w:color="auto" w:sz="8" w:space="0"/>
            </w:tcBorders>
            <w:shd w:val="clear" w:color="auto" w:fill="auto"/>
            <w:vAlign w:val="center"/>
          </w:tcPr>
          <w:p w14:paraId="15EFC204">
            <w:pPr>
              <w:jc w:val="center"/>
              <w:rPr>
                <w:rFonts w:ascii="Times New Roman" w:hAnsi="Times New Roman" w:eastAsia="仿宋_GB2312" w:cs="Times New Roman"/>
                <w:kern w:val="0"/>
                <w:szCs w:val="21"/>
              </w:rPr>
            </w:pPr>
          </w:p>
        </w:tc>
      </w:tr>
      <w:tr w14:paraId="1FABD89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41527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487951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基本公共卫生服务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F05F1A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192.62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A45FF33">
            <w:pPr>
              <w:jc w:val="center"/>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ECBCC9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192.62</w:t>
            </w:r>
          </w:p>
        </w:tc>
      </w:tr>
      <w:tr w14:paraId="180027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027DBB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383BF5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F3828B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7.48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8AEA92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7.48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626463A">
            <w:pPr>
              <w:jc w:val="right"/>
              <w:rPr>
                <w:rFonts w:ascii="Times New Roman" w:hAnsi="Times New Roman" w:eastAsia="仿宋_GB2312" w:cs="Times New Roman"/>
                <w:kern w:val="0"/>
                <w:szCs w:val="21"/>
              </w:rPr>
            </w:pPr>
          </w:p>
        </w:tc>
      </w:tr>
    </w:tbl>
    <w:p w14:paraId="3CFFC151">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9912326">
      <w:pPr>
        <w:widowControl/>
        <w:jc w:val="left"/>
        <w:rPr>
          <w:rFonts w:ascii="Times New Roman" w:hAnsi="Times New Roman" w:eastAsia="仿宋_GB2312" w:cs="Times New Roman"/>
          <w:bCs/>
          <w:kern w:val="0"/>
          <w:szCs w:val="21"/>
        </w:rPr>
      </w:pPr>
    </w:p>
    <w:p w14:paraId="5934B845">
      <w:pPr>
        <w:widowControl/>
        <w:jc w:val="left"/>
        <w:rPr>
          <w:rFonts w:ascii="Times New Roman" w:hAnsi="Times New Roman" w:eastAsia="仿宋_GB2312" w:cs="Times New Roman"/>
          <w:bCs/>
          <w:kern w:val="0"/>
          <w:szCs w:val="21"/>
        </w:rPr>
      </w:pPr>
      <w:r>
        <w:br w:type="page"/>
      </w:r>
    </w:p>
    <w:p w14:paraId="36B1C610">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151C97FD">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sz w:val="20"/>
          <w:szCs w:val="20"/>
          <w:lang w:eastAsia="zh-CN"/>
        </w:rPr>
        <w:t>蓝山县太平圩镇卫生院</w:t>
      </w:r>
      <w:r>
        <w:rPr>
          <w:rFonts w:ascii="Times New Roman" w:hAnsi="Times New Roman" w:eastAsia="仿宋_GB2312" w:cs="Times New Roman"/>
          <w:color w:val="000000"/>
          <w:kern w:val="0"/>
          <w:szCs w:val="21"/>
        </w:rPr>
        <w:t xml:space="preserve">                                                                                                                公开06表</w:t>
      </w:r>
    </w:p>
    <w:p w14:paraId="4D790B9C">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22E4B468">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F4F4C1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5BC080C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333C9E3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2AF372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4DF2923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1E9C31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619109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C1E8B7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0C92396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1A3A3F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218C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F3577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B4AA746">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w:t>
            </w:r>
            <w:r>
              <w:rPr>
                <w:rFonts w:hint="eastAsia" w:ascii="Times New Roman" w:hAnsi="Times New Roman" w:eastAsia="仿宋_GB2312" w:cs="Times New Roman"/>
                <w:color w:val="000000"/>
                <w:kern w:val="0"/>
                <w:szCs w:val="20"/>
              </w:rPr>
              <w:t>43.98</w:t>
            </w:r>
          </w:p>
        </w:tc>
        <w:tc>
          <w:tcPr>
            <w:tcW w:w="1116" w:type="dxa"/>
            <w:tcBorders>
              <w:top w:val="nil"/>
              <w:left w:val="nil"/>
              <w:bottom w:val="single" w:color="auto" w:sz="4" w:space="0"/>
              <w:right w:val="single" w:color="auto" w:sz="4" w:space="0"/>
            </w:tcBorders>
            <w:shd w:val="clear" w:color="auto" w:fill="auto"/>
            <w:noWrap/>
            <w:vAlign w:val="center"/>
          </w:tcPr>
          <w:p w14:paraId="7B2D37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6A92FE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406A48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3.56</w:t>
            </w:r>
          </w:p>
        </w:tc>
        <w:tc>
          <w:tcPr>
            <w:tcW w:w="1217" w:type="dxa"/>
            <w:tcBorders>
              <w:top w:val="nil"/>
              <w:left w:val="nil"/>
              <w:bottom w:val="single" w:color="auto" w:sz="4" w:space="0"/>
              <w:right w:val="single" w:color="auto" w:sz="4" w:space="0"/>
            </w:tcBorders>
            <w:shd w:val="clear" w:color="auto" w:fill="auto"/>
            <w:noWrap/>
            <w:vAlign w:val="center"/>
          </w:tcPr>
          <w:p w14:paraId="4645C7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52D8F7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7CACF3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02895F">
        <w:tblPrEx>
          <w:tblCellMar>
            <w:top w:w="0" w:type="dxa"/>
            <w:left w:w="108" w:type="dxa"/>
            <w:bottom w:w="0" w:type="dxa"/>
            <w:right w:w="108" w:type="dxa"/>
          </w:tblCellMar>
        </w:tblPrEx>
        <w:trPr>
          <w:trHeight w:val="259"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1D7C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66979D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3AAC3370">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123.76</w:t>
            </w:r>
          </w:p>
        </w:tc>
        <w:tc>
          <w:tcPr>
            <w:tcW w:w="1116" w:type="dxa"/>
            <w:tcBorders>
              <w:top w:val="nil"/>
              <w:left w:val="nil"/>
              <w:bottom w:val="single" w:color="auto" w:sz="4" w:space="0"/>
              <w:right w:val="single" w:color="auto" w:sz="4" w:space="0"/>
            </w:tcBorders>
            <w:shd w:val="clear" w:color="auto" w:fill="auto"/>
            <w:noWrap/>
            <w:vAlign w:val="center"/>
          </w:tcPr>
          <w:p w14:paraId="728B6A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9316D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2083829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0.12</w:t>
            </w:r>
          </w:p>
        </w:tc>
        <w:tc>
          <w:tcPr>
            <w:tcW w:w="1217" w:type="dxa"/>
            <w:tcBorders>
              <w:top w:val="nil"/>
              <w:left w:val="nil"/>
              <w:bottom w:val="single" w:color="auto" w:sz="4" w:space="0"/>
              <w:right w:val="single" w:color="auto" w:sz="4" w:space="0"/>
            </w:tcBorders>
            <w:shd w:val="clear" w:color="auto" w:fill="auto"/>
            <w:noWrap/>
            <w:vAlign w:val="center"/>
          </w:tcPr>
          <w:p w14:paraId="4201BB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557CFF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757DA8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7D53A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BA2B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5B0959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14451255">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41.01</w:t>
            </w:r>
          </w:p>
        </w:tc>
        <w:tc>
          <w:tcPr>
            <w:tcW w:w="1116" w:type="dxa"/>
            <w:tcBorders>
              <w:top w:val="nil"/>
              <w:left w:val="nil"/>
              <w:bottom w:val="single" w:color="auto" w:sz="4" w:space="0"/>
              <w:right w:val="single" w:color="auto" w:sz="4" w:space="0"/>
            </w:tcBorders>
            <w:shd w:val="clear" w:color="auto" w:fill="auto"/>
            <w:noWrap/>
            <w:vAlign w:val="center"/>
          </w:tcPr>
          <w:p w14:paraId="67F3BE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22ABC3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2419265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0.53</w:t>
            </w:r>
          </w:p>
        </w:tc>
        <w:tc>
          <w:tcPr>
            <w:tcW w:w="1217" w:type="dxa"/>
            <w:tcBorders>
              <w:top w:val="nil"/>
              <w:left w:val="nil"/>
              <w:bottom w:val="single" w:color="auto" w:sz="4" w:space="0"/>
              <w:right w:val="single" w:color="auto" w:sz="4" w:space="0"/>
            </w:tcBorders>
            <w:shd w:val="clear" w:color="auto" w:fill="auto"/>
            <w:noWrap/>
            <w:vAlign w:val="center"/>
          </w:tcPr>
          <w:p w14:paraId="5E0A07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06249A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65D820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89D00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3FB3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ED9ED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147BA81B">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F936F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502F4C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46E083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0855C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46AA9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AC63B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C65AC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C07B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849FD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1D03D2D7">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C5C99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3ADBD1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452603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7B0C4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7EE623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67A60B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8AED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CB4C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3F9AC7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4729ED34">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24.87</w:t>
            </w:r>
          </w:p>
        </w:tc>
        <w:tc>
          <w:tcPr>
            <w:tcW w:w="1116" w:type="dxa"/>
            <w:tcBorders>
              <w:top w:val="nil"/>
              <w:left w:val="nil"/>
              <w:bottom w:val="single" w:color="auto" w:sz="4" w:space="0"/>
              <w:right w:val="single" w:color="auto" w:sz="4" w:space="0"/>
            </w:tcBorders>
            <w:shd w:val="clear" w:color="auto" w:fill="auto"/>
            <w:noWrap/>
            <w:vAlign w:val="center"/>
          </w:tcPr>
          <w:p w14:paraId="0EB5D6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35263A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15D006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69907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3CC0CA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2B1BA0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37CC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6733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223201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41003E73">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29.35</w:t>
            </w:r>
          </w:p>
        </w:tc>
        <w:tc>
          <w:tcPr>
            <w:tcW w:w="1116" w:type="dxa"/>
            <w:tcBorders>
              <w:top w:val="nil"/>
              <w:left w:val="nil"/>
              <w:bottom w:val="single" w:color="auto" w:sz="4" w:space="0"/>
              <w:right w:val="single" w:color="auto" w:sz="4" w:space="0"/>
            </w:tcBorders>
            <w:shd w:val="clear" w:color="auto" w:fill="auto"/>
            <w:noWrap/>
            <w:vAlign w:val="center"/>
          </w:tcPr>
          <w:p w14:paraId="452A8B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2B926C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617082F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0.45</w:t>
            </w:r>
          </w:p>
        </w:tc>
        <w:tc>
          <w:tcPr>
            <w:tcW w:w="1217" w:type="dxa"/>
            <w:tcBorders>
              <w:top w:val="nil"/>
              <w:left w:val="nil"/>
              <w:bottom w:val="single" w:color="auto" w:sz="4" w:space="0"/>
              <w:right w:val="single" w:color="auto" w:sz="4" w:space="0"/>
            </w:tcBorders>
            <w:shd w:val="clear" w:color="auto" w:fill="auto"/>
            <w:noWrap/>
            <w:vAlign w:val="center"/>
          </w:tcPr>
          <w:p w14:paraId="59F0BD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2EC02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578C50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6D21D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71B3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187389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7CA456F1">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A5137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22CCD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60DF71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329F4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644E42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5D8912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C15749D">
        <w:tblPrEx>
          <w:tblCellMar>
            <w:top w:w="0" w:type="dxa"/>
            <w:left w:w="108" w:type="dxa"/>
            <w:bottom w:w="0" w:type="dxa"/>
            <w:right w:w="108" w:type="dxa"/>
          </w:tblCellMar>
        </w:tblPrEx>
        <w:trPr>
          <w:trHeight w:val="259"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D722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44F8BB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4CAF540B">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125FE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53B3E0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61526B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2C210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32CC2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0BE8BD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D20DB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7C1F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257FD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52FA8C94">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4D093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5AD983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5CEFDB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F5A51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635732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7A1CB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1C05A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E64A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2EC5B1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2B70582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93293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BB64F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7261E2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2A380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58BEEF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02267F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A1A99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6121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18C10F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23C0BF4B">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7DF1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3DD6B8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5BC96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AB54E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024BE9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436D30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27A01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ADA1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279EDC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235B1381">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75A65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A7BAB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17CC1B6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0.32</w:t>
            </w:r>
          </w:p>
        </w:tc>
        <w:tc>
          <w:tcPr>
            <w:tcW w:w="1217" w:type="dxa"/>
            <w:tcBorders>
              <w:top w:val="nil"/>
              <w:left w:val="nil"/>
              <w:bottom w:val="single" w:color="auto" w:sz="4" w:space="0"/>
              <w:right w:val="single" w:color="auto" w:sz="4" w:space="0"/>
            </w:tcBorders>
            <w:shd w:val="clear" w:color="auto" w:fill="auto"/>
            <w:noWrap/>
            <w:vAlign w:val="center"/>
          </w:tcPr>
          <w:p w14:paraId="29E30B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2FF420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6951C6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0C577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D3DE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019298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6AA9417C">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16.71</w:t>
            </w:r>
          </w:p>
        </w:tc>
        <w:tc>
          <w:tcPr>
            <w:tcW w:w="1116" w:type="dxa"/>
            <w:tcBorders>
              <w:top w:val="nil"/>
              <w:left w:val="nil"/>
              <w:bottom w:val="single" w:color="auto" w:sz="4" w:space="0"/>
              <w:right w:val="single" w:color="auto" w:sz="4" w:space="0"/>
            </w:tcBorders>
            <w:shd w:val="clear" w:color="auto" w:fill="auto"/>
            <w:noWrap/>
            <w:vAlign w:val="center"/>
          </w:tcPr>
          <w:p w14:paraId="5CF845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210275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2F785A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4CE30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26101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5780F6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A58F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CE16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6F521C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B7A5204">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7.87</w:t>
            </w:r>
          </w:p>
        </w:tc>
        <w:tc>
          <w:tcPr>
            <w:tcW w:w="1116" w:type="dxa"/>
            <w:tcBorders>
              <w:top w:val="nil"/>
              <w:left w:val="nil"/>
              <w:bottom w:val="single" w:color="auto" w:sz="4" w:space="0"/>
              <w:right w:val="single" w:color="auto" w:sz="4" w:space="0"/>
            </w:tcBorders>
            <w:shd w:val="clear" w:color="auto" w:fill="auto"/>
            <w:noWrap/>
            <w:vAlign w:val="center"/>
          </w:tcPr>
          <w:p w14:paraId="268A49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41BD72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45B3A72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0.8</w:t>
            </w:r>
          </w:p>
        </w:tc>
        <w:tc>
          <w:tcPr>
            <w:tcW w:w="1217" w:type="dxa"/>
            <w:tcBorders>
              <w:top w:val="nil"/>
              <w:left w:val="nil"/>
              <w:bottom w:val="single" w:color="auto" w:sz="4" w:space="0"/>
              <w:right w:val="single" w:color="auto" w:sz="4" w:space="0"/>
            </w:tcBorders>
            <w:shd w:val="clear" w:color="auto" w:fill="auto"/>
            <w:noWrap/>
            <w:vAlign w:val="center"/>
          </w:tcPr>
          <w:p w14:paraId="53BFD3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6D227B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0587D2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80B3C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9EEE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487836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14278760">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5A1D6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178CF4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1A3E8C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0.41</w:t>
            </w:r>
          </w:p>
        </w:tc>
        <w:tc>
          <w:tcPr>
            <w:tcW w:w="1217" w:type="dxa"/>
            <w:tcBorders>
              <w:top w:val="nil"/>
              <w:left w:val="nil"/>
              <w:bottom w:val="single" w:color="auto" w:sz="4" w:space="0"/>
              <w:right w:val="single" w:color="auto" w:sz="4" w:space="0"/>
            </w:tcBorders>
            <w:shd w:val="clear" w:color="auto" w:fill="auto"/>
            <w:noWrap/>
            <w:vAlign w:val="center"/>
          </w:tcPr>
          <w:p w14:paraId="7648F5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19EC93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67659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E29D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AFEB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2CB6DF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62D8E5F5">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698D0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7A9857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1284BC6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0.31</w:t>
            </w:r>
          </w:p>
        </w:tc>
        <w:tc>
          <w:tcPr>
            <w:tcW w:w="1217" w:type="dxa"/>
            <w:tcBorders>
              <w:top w:val="nil"/>
              <w:left w:val="nil"/>
              <w:bottom w:val="single" w:color="auto" w:sz="4" w:space="0"/>
              <w:right w:val="single" w:color="auto" w:sz="4" w:space="0"/>
            </w:tcBorders>
            <w:shd w:val="clear" w:color="auto" w:fill="auto"/>
            <w:noWrap/>
            <w:vAlign w:val="center"/>
          </w:tcPr>
          <w:p w14:paraId="68D70C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489A7F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D773F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0B6D9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6C9A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7E6EB9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149E4392">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30528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329573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6C5EF5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FE083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2767D2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67C181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6564C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863F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537C6A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3502C0F9">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6.08</w:t>
            </w:r>
          </w:p>
        </w:tc>
        <w:tc>
          <w:tcPr>
            <w:tcW w:w="1116" w:type="dxa"/>
            <w:tcBorders>
              <w:top w:val="nil"/>
              <w:left w:val="nil"/>
              <w:bottom w:val="single" w:color="auto" w:sz="4" w:space="0"/>
              <w:right w:val="single" w:color="auto" w:sz="4" w:space="0"/>
            </w:tcBorders>
            <w:shd w:val="clear" w:color="auto" w:fill="auto"/>
            <w:noWrap/>
            <w:vAlign w:val="center"/>
          </w:tcPr>
          <w:p w14:paraId="39F956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520051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6E8D41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915CF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0D4F5A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2DA3AF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6ADD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97EC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3EE25F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176AC923">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1.80</w:t>
            </w:r>
          </w:p>
        </w:tc>
        <w:tc>
          <w:tcPr>
            <w:tcW w:w="1116" w:type="dxa"/>
            <w:tcBorders>
              <w:top w:val="nil"/>
              <w:left w:val="nil"/>
              <w:bottom w:val="single" w:color="auto" w:sz="4" w:space="0"/>
              <w:right w:val="single" w:color="auto" w:sz="4" w:space="0"/>
            </w:tcBorders>
            <w:shd w:val="clear" w:color="auto" w:fill="auto"/>
            <w:noWrap/>
            <w:vAlign w:val="center"/>
          </w:tcPr>
          <w:p w14:paraId="321B47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52F88E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1AC2EC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BB237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8A410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0943AD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41CF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6A00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1F61DC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33BA87FE">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20C0A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13881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31B0A6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CCCB2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3E0F5B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0B7222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8CD948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2193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3E4C30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5F7483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7EA79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04E9E2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1691BE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B3513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3F01BE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2E0F4B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A4659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5DBB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4CCED5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5F53632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51CEE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41D03E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33A705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35E4E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C0281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C6519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03A59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CDCD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03B40C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69000904">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A91F6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4263F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77614E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2D50E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C1499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68B9C6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2A558552">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38397AF">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184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0A2C194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3E5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27F86524">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39A53D4D">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DDB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7A71EC6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BAA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0BDEC890">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353B7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A04BB1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4E91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76343B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68F25906">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3EEAE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610BC9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4A3D6D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11567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296628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F36E8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09F486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78EF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7F140C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42E68383">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2666E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3BF8E2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45F5A6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DE3FB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40CA0B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399811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FF1F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85E2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002A68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DA6ABA2">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4B045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2A8983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0FB426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D92113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45A265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ABEAE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BF9D9A">
        <w:tblPrEx>
          <w:tblCellMar>
            <w:top w:w="0" w:type="dxa"/>
            <w:left w:w="108" w:type="dxa"/>
            <w:bottom w:w="0" w:type="dxa"/>
            <w:right w:w="108" w:type="dxa"/>
          </w:tblCellMar>
        </w:tblPrEx>
        <w:trPr>
          <w:trHeight w:val="259"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59D1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00BE24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1454276A">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2D161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4CE22A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B2718F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0.61</w:t>
            </w:r>
          </w:p>
        </w:tc>
        <w:tc>
          <w:tcPr>
            <w:tcW w:w="1217" w:type="dxa"/>
            <w:tcBorders>
              <w:top w:val="nil"/>
              <w:left w:val="nil"/>
              <w:bottom w:val="single" w:color="auto" w:sz="4" w:space="0"/>
              <w:right w:val="single" w:color="auto" w:sz="4" w:space="0"/>
            </w:tcBorders>
            <w:shd w:val="clear" w:color="auto" w:fill="auto"/>
            <w:noWrap/>
            <w:vAlign w:val="center"/>
          </w:tcPr>
          <w:p w14:paraId="5429C8A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D2CE09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C44FE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307CA8F">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D3507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092BAC0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251.85</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28180E2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08C3555C">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3.56</w:t>
            </w:r>
          </w:p>
        </w:tc>
      </w:tr>
    </w:tbl>
    <w:p w14:paraId="1CA4AA06">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4EB9864">
      <w:pPr>
        <w:widowControl/>
        <w:spacing w:line="400" w:lineRule="exact"/>
        <w:jc w:val="center"/>
        <w:textAlignment w:val="center"/>
        <w:rPr>
          <w:rFonts w:ascii="Times New Roman" w:hAnsi="Times New Roman" w:eastAsia="仿宋_GB2312" w:cs="Times New Roman"/>
          <w:color w:val="000000"/>
          <w:kern w:val="0"/>
          <w:sz w:val="32"/>
          <w:szCs w:val="32"/>
        </w:rPr>
      </w:pPr>
    </w:p>
    <w:p w14:paraId="398D316E">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0C969E0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210C821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蓝山县太平圩镇卫生院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00BFF2D">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A77E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 xml:space="preserve">   </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316D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3F79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10A3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373D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45985ECF">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9023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E09A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B87EB">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F8C7B">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3B0C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6F29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11A1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F25C1">
            <w:pPr>
              <w:widowControl/>
              <w:jc w:val="center"/>
              <w:rPr>
                <w:rFonts w:ascii="Times New Roman" w:hAnsi="Times New Roman" w:eastAsia="仿宋_GB2312" w:cs="Times New Roman"/>
                <w:color w:val="000000"/>
                <w:sz w:val="24"/>
                <w:szCs w:val="24"/>
              </w:rPr>
            </w:pPr>
          </w:p>
        </w:tc>
      </w:tr>
      <w:tr w14:paraId="1423AFD8">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F417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37D4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56F3E">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3B9B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B790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2FA0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B8E0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94B2F">
            <w:pPr>
              <w:jc w:val="center"/>
              <w:rPr>
                <w:rFonts w:ascii="Times New Roman" w:hAnsi="Times New Roman" w:eastAsia="仿宋_GB2312" w:cs="Times New Roman"/>
                <w:color w:val="000000"/>
                <w:sz w:val="24"/>
                <w:szCs w:val="24"/>
              </w:rPr>
            </w:pPr>
          </w:p>
        </w:tc>
      </w:tr>
      <w:tr w14:paraId="34F23177">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51C8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55D2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19E5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3ED2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2CFF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5C03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FF61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73ACA">
            <w:pPr>
              <w:jc w:val="center"/>
              <w:rPr>
                <w:rFonts w:ascii="Times New Roman" w:hAnsi="Times New Roman" w:eastAsia="仿宋_GB2312" w:cs="Times New Roman"/>
                <w:color w:val="000000"/>
                <w:sz w:val="24"/>
                <w:szCs w:val="24"/>
              </w:rPr>
            </w:pPr>
          </w:p>
        </w:tc>
      </w:tr>
      <w:tr w14:paraId="76BE5AB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54DB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CF4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F1F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42E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DB3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0E3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DFF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0D93DE5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41D3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D24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D71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9F29">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3E89">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54A2">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E76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78C18AD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FF5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F852">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CE8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DBC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1E2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691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0FC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B78C">
            <w:pPr>
              <w:rPr>
                <w:rFonts w:ascii="Times New Roman" w:hAnsi="Times New Roman" w:eastAsia="仿宋_GB2312" w:cs="Times New Roman"/>
                <w:color w:val="000000"/>
                <w:sz w:val="24"/>
                <w:szCs w:val="24"/>
              </w:rPr>
            </w:pPr>
          </w:p>
        </w:tc>
      </w:tr>
      <w:tr w14:paraId="4CAD68A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B77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EB7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E87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79C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CAB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17A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AE1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A1F7">
            <w:pPr>
              <w:rPr>
                <w:rFonts w:ascii="Times New Roman" w:hAnsi="Times New Roman" w:eastAsia="仿宋_GB2312" w:cs="Times New Roman"/>
                <w:color w:val="000000"/>
                <w:sz w:val="24"/>
                <w:szCs w:val="24"/>
              </w:rPr>
            </w:pPr>
          </w:p>
        </w:tc>
      </w:tr>
      <w:tr w14:paraId="51C09EF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8E0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CFA4">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A50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FB8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375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AA8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2B3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9DBD">
            <w:pPr>
              <w:rPr>
                <w:rFonts w:ascii="Times New Roman" w:hAnsi="Times New Roman" w:eastAsia="仿宋_GB2312" w:cs="Times New Roman"/>
                <w:color w:val="000000"/>
                <w:sz w:val="24"/>
                <w:szCs w:val="24"/>
              </w:rPr>
            </w:pPr>
          </w:p>
        </w:tc>
      </w:tr>
      <w:tr w14:paraId="18FA862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490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C3A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E86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3AE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615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FE1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C3C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9D80">
            <w:pPr>
              <w:rPr>
                <w:rFonts w:ascii="Times New Roman" w:hAnsi="Times New Roman" w:eastAsia="仿宋_GB2312" w:cs="Times New Roman"/>
                <w:color w:val="000000"/>
                <w:sz w:val="24"/>
                <w:szCs w:val="24"/>
              </w:rPr>
            </w:pPr>
          </w:p>
        </w:tc>
      </w:tr>
      <w:tr w14:paraId="5297CB5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0D9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510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9C4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9B6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6C4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2FF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430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FB7A">
            <w:pPr>
              <w:rPr>
                <w:rFonts w:ascii="Times New Roman" w:hAnsi="Times New Roman" w:eastAsia="仿宋_GB2312" w:cs="Times New Roman"/>
                <w:color w:val="000000"/>
                <w:sz w:val="24"/>
                <w:szCs w:val="24"/>
              </w:rPr>
            </w:pPr>
          </w:p>
        </w:tc>
      </w:tr>
      <w:tr w14:paraId="6D77DEC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2E9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F4A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FE6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5FB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CD9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298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6C7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1E9A">
            <w:pPr>
              <w:rPr>
                <w:rFonts w:ascii="Times New Roman" w:hAnsi="Times New Roman" w:eastAsia="仿宋_GB2312" w:cs="Times New Roman"/>
                <w:color w:val="000000"/>
                <w:sz w:val="24"/>
                <w:szCs w:val="24"/>
              </w:rPr>
            </w:pPr>
          </w:p>
        </w:tc>
      </w:tr>
    </w:tbl>
    <w:p w14:paraId="67758E7B">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6F8CC74D">
      <w:pPr>
        <w:widowControl/>
        <w:jc w:val="left"/>
        <w:textAlignment w:val="center"/>
        <w:rPr>
          <w:rFonts w:ascii="Times New Roman" w:hAnsi="Times New Roman" w:eastAsia="仿宋_GB2312" w:cs="Times New Roman"/>
          <w:color w:val="000000"/>
          <w:kern w:val="0"/>
          <w:sz w:val="24"/>
          <w:szCs w:val="24"/>
        </w:rPr>
      </w:pPr>
    </w:p>
    <w:p w14:paraId="1D9BF467">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0865EE96">
      <w:pPr>
        <w:widowControl/>
        <w:jc w:val="center"/>
        <w:rPr>
          <w:rFonts w:ascii="Times New Roman" w:hAnsi="Times New Roman" w:eastAsia="方正小标宋_GBK" w:cs="Times New Roman"/>
          <w:color w:val="000000"/>
          <w:kern w:val="0"/>
          <w:sz w:val="36"/>
          <w:szCs w:val="36"/>
        </w:rPr>
      </w:pPr>
    </w:p>
    <w:p w14:paraId="6D65F52D">
      <w:pPr>
        <w:widowControl/>
        <w:spacing w:line="400" w:lineRule="exact"/>
        <w:textAlignment w:val="center"/>
        <w:rPr>
          <w:rFonts w:ascii="Times New Roman" w:hAnsi="Times New Roman" w:eastAsia="黑体" w:cs="Times New Roman"/>
          <w:color w:val="000000"/>
          <w:kern w:val="0"/>
          <w:sz w:val="36"/>
          <w:szCs w:val="36"/>
        </w:rPr>
      </w:pPr>
    </w:p>
    <w:p w14:paraId="6D511C81">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63570D1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1649CBA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蓝山县太平圩镇卫生院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46D41E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EAF4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8690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1221737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3AC0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55BE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6279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A9E6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F230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2680E2BA">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2EB3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BAE8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1EC5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1AFA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DEC85">
            <w:pPr>
              <w:jc w:val="center"/>
              <w:rPr>
                <w:rFonts w:ascii="Times New Roman" w:hAnsi="Times New Roman" w:eastAsia="仿宋_GB2312" w:cs="Times New Roman"/>
                <w:color w:val="000000"/>
                <w:sz w:val="24"/>
                <w:szCs w:val="24"/>
              </w:rPr>
            </w:pPr>
          </w:p>
        </w:tc>
      </w:tr>
      <w:tr w14:paraId="439F473D">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9386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B98F5">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80DF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3F62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477C7">
            <w:pPr>
              <w:jc w:val="center"/>
              <w:rPr>
                <w:rFonts w:ascii="Times New Roman" w:hAnsi="Times New Roman" w:eastAsia="仿宋_GB2312" w:cs="Times New Roman"/>
                <w:color w:val="000000"/>
                <w:sz w:val="24"/>
                <w:szCs w:val="24"/>
              </w:rPr>
            </w:pPr>
          </w:p>
        </w:tc>
      </w:tr>
      <w:tr w14:paraId="0BDC35D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69F8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06CD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2D0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0AF3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6BF5434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363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AF3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90A49">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966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33A99C0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E2F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60D21">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E19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B1A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CC646">
            <w:pPr>
              <w:rPr>
                <w:rFonts w:ascii="Times New Roman" w:hAnsi="Times New Roman" w:eastAsia="仿宋_GB2312" w:cs="Times New Roman"/>
                <w:color w:val="000000"/>
                <w:sz w:val="24"/>
                <w:szCs w:val="24"/>
              </w:rPr>
            </w:pPr>
          </w:p>
        </w:tc>
      </w:tr>
      <w:tr w14:paraId="69A124A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482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1845">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34F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1FB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B942">
            <w:pPr>
              <w:rPr>
                <w:rFonts w:ascii="Times New Roman" w:hAnsi="Times New Roman" w:eastAsia="仿宋_GB2312" w:cs="Times New Roman"/>
                <w:color w:val="000000"/>
                <w:sz w:val="24"/>
                <w:szCs w:val="24"/>
              </w:rPr>
            </w:pPr>
          </w:p>
        </w:tc>
      </w:tr>
      <w:tr w14:paraId="3A93575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FBC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4EC7">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85C5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291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7E20">
            <w:pPr>
              <w:rPr>
                <w:rFonts w:ascii="Times New Roman" w:hAnsi="Times New Roman" w:eastAsia="宋体" w:cs="Times New Roman"/>
                <w:color w:val="000000"/>
                <w:sz w:val="24"/>
                <w:szCs w:val="24"/>
              </w:rPr>
            </w:pPr>
          </w:p>
        </w:tc>
      </w:tr>
      <w:tr w14:paraId="649D5E6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6A3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6CE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781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C807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FBD5">
            <w:pPr>
              <w:rPr>
                <w:rFonts w:ascii="Times New Roman" w:hAnsi="Times New Roman" w:eastAsia="宋体" w:cs="Times New Roman"/>
                <w:color w:val="000000"/>
                <w:sz w:val="24"/>
                <w:szCs w:val="24"/>
              </w:rPr>
            </w:pPr>
          </w:p>
        </w:tc>
      </w:tr>
      <w:tr w14:paraId="18CFBE9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5C4A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1087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7F2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76A5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B2E33">
            <w:pPr>
              <w:rPr>
                <w:rFonts w:ascii="Times New Roman" w:hAnsi="Times New Roman" w:eastAsia="宋体" w:cs="Times New Roman"/>
                <w:color w:val="000000"/>
                <w:sz w:val="24"/>
                <w:szCs w:val="24"/>
              </w:rPr>
            </w:pPr>
          </w:p>
        </w:tc>
      </w:tr>
      <w:tr w14:paraId="1A98776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A8F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C82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B5A9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8A7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A5CA">
            <w:pPr>
              <w:rPr>
                <w:rFonts w:ascii="Times New Roman" w:hAnsi="Times New Roman" w:eastAsia="宋体" w:cs="Times New Roman"/>
                <w:color w:val="000000"/>
                <w:sz w:val="24"/>
                <w:szCs w:val="24"/>
              </w:rPr>
            </w:pPr>
          </w:p>
        </w:tc>
      </w:tr>
    </w:tbl>
    <w:p w14:paraId="055F6CA8">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0EDAB6BE">
      <w:pPr>
        <w:widowControl/>
        <w:jc w:val="left"/>
        <w:textAlignment w:val="center"/>
        <w:rPr>
          <w:rFonts w:ascii="Times New Roman" w:hAnsi="Times New Roman" w:eastAsia="宋体" w:cs="Times New Roman"/>
          <w:color w:val="000000"/>
          <w:kern w:val="0"/>
          <w:sz w:val="24"/>
          <w:szCs w:val="24"/>
        </w:rPr>
      </w:pPr>
    </w:p>
    <w:p w14:paraId="07512480">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706E8208">
      <w:pPr>
        <w:widowControl/>
        <w:jc w:val="center"/>
        <w:rPr>
          <w:rFonts w:ascii="Times New Roman" w:hAnsi="Times New Roman" w:eastAsia="方正小标宋_GBK" w:cs="Times New Roman"/>
          <w:color w:val="000000"/>
          <w:kern w:val="0"/>
          <w:sz w:val="36"/>
          <w:szCs w:val="36"/>
        </w:rPr>
      </w:pPr>
    </w:p>
    <w:p w14:paraId="7043ECB7">
      <w:pPr>
        <w:pStyle w:val="7"/>
        <w:spacing w:line="400" w:lineRule="exact"/>
        <w:rPr>
          <w:rFonts w:ascii="Times New Roman" w:hAnsi="Times New Roman" w:eastAsia="华文中宋" w:cs="Times New Roman"/>
          <w:color w:val="000000"/>
          <w:kern w:val="0"/>
          <w:sz w:val="32"/>
          <w:szCs w:val="32"/>
        </w:rPr>
      </w:pPr>
    </w:p>
    <w:p w14:paraId="1A3B77AA">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46F05F7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0550769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蓝山县太平圩镇卫生院</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5CA707E">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0D156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D26F0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2EDA1C82">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E056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9B45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A6B3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DBE7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9AD8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6910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118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E517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0D964DC7">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36C3A">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4FC25">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3BC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1BD2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D88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BE157">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824B7">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44346">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E08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16BD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38F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8A037">
            <w:pPr>
              <w:jc w:val="center"/>
              <w:rPr>
                <w:rFonts w:ascii="Times New Roman" w:hAnsi="Times New Roman" w:eastAsia="仿宋_GB2312" w:cs="Times New Roman"/>
                <w:color w:val="000000"/>
                <w:sz w:val="22"/>
              </w:rPr>
            </w:pPr>
          </w:p>
        </w:tc>
      </w:tr>
      <w:tr w14:paraId="334CFD5B">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D8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2B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167B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BF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066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04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CDC3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9B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ADC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5E3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DD87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0E7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51447C36">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372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0.31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DF44">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A9B7">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1097">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4C5A">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80BE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0.31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2725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0.31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6BC4">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916D">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C56D">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D653">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6577">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0.31</w:t>
            </w:r>
          </w:p>
        </w:tc>
      </w:tr>
    </w:tbl>
    <w:p w14:paraId="012AFA80">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2468812E">
      <w:pPr>
        <w:autoSpaceDE w:val="0"/>
        <w:autoSpaceDN w:val="0"/>
        <w:adjustRightInd w:val="0"/>
        <w:ind w:left="315" w:leftChars="150"/>
        <w:jc w:val="left"/>
        <w:rPr>
          <w:rFonts w:ascii="Times New Roman" w:hAnsi="Times New Roman" w:eastAsia="宋体" w:cs="Times New Roman"/>
          <w:kern w:val="0"/>
          <w:sz w:val="24"/>
          <w:szCs w:val="24"/>
        </w:rPr>
      </w:pPr>
    </w:p>
    <w:p w14:paraId="2C128114">
      <w:pPr>
        <w:autoSpaceDE w:val="0"/>
        <w:autoSpaceDN w:val="0"/>
        <w:adjustRightInd w:val="0"/>
        <w:ind w:left="315" w:leftChars="150"/>
        <w:jc w:val="left"/>
        <w:rPr>
          <w:rFonts w:ascii="Times New Roman" w:hAnsi="Times New Roman" w:eastAsia="宋体" w:cs="Times New Roman"/>
          <w:kern w:val="0"/>
          <w:sz w:val="24"/>
          <w:szCs w:val="24"/>
        </w:rPr>
      </w:pPr>
    </w:p>
    <w:p w14:paraId="2EBFE6B4">
      <w:pPr>
        <w:autoSpaceDE w:val="0"/>
        <w:autoSpaceDN w:val="0"/>
        <w:adjustRightInd w:val="0"/>
        <w:ind w:left="315" w:leftChars="150"/>
        <w:jc w:val="left"/>
        <w:rPr>
          <w:rFonts w:ascii="Times New Roman" w:hAnsi="Times New Roman" w:eastAsia="宋体" w:cs="Times New Roman"/>
          <w:kern w:val="0"/>
          <w:sz w:val="24"/>
          <w:szCs w:val="24"/>
        </w:rPr>
      </w:pPr>
    </w:p>
    <w:p w14:paraId="23073AA9">
      <w:pPr>
        <w:autoSpaceDE w:val="0"/>
        <w:autoSpaceDN w:val="0"/>
        <w:adjustRightInd w:val="0"/>
        <w:ind w:left="315" w:leftChars="150"/>
        <w:jc w:val="left"/>
        <w:rPr>
          <w:rFonts w:ascii="Times New Roman" w:hAnsi="Times New Roman" w:eastAsia="宋体" w:cs="Times New Roman"/>
          <w:kern w:val="0"/>
          <w:sz w:val="24"/>
          <w:szCs w:val="24"/>
        </w:rPr>
      </w:pPr>
    </w:p>
    <w:p w14:paraId="0A99ECB4">
      <w:pPr>
        <w:autoSpaceDE w:val="0"/>
        <w:autoSpaceDN w:val="0"/>
        <w:adjustRightInd w:val="0"/>
        <w:ind w:left="315" w:leftChars="150"/>
        <w:jc w:val="left"/>
        <w:rPr>
          <w:rFonts w:ascii="Times New Roman" w:hAnsi="Times New Roman" w:eastAsia="宋体" w:cs="Times New Roman"/>
          <w:kern w:val="0"/>
          <w:sz w:val="24"/>
          <w:szCs w:val="24"/>
        </w:rPr>
      </w:pPr>
    </w:p>
    <w:p w14:paraId="066DDE5F">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14:paraId="70914885">
      <w:pPr>
        <w:pStyle w:val="13"/>
        <w:rPr>
          <w:rFonts w:ascii="Times New Roman" w:hAnsi="Times New Roman" w:cs="Times New Roman"/>
          <w:sz w:val="72"/>
          <w:szCs w:val="72"/>
        </w:rPr>
      </w:pPr>
    </w:p>
    <w:p w14:paraId="361682F5">
      <w:pPr>
        <w:pStyle w:val="13"/>
        <w:rPr>
          <w:rFonts w:ascii="Times New Roman" w:hAnsi="Times New Roman" w:cs="Times New Roman"/>
          <w:sz w:val="72"/>
          <w:szCs w:val="72"/>
        </w:rPr>
      </w:pPr>
    </w:p>
    <w:p w14:paraId="19BC6603">
      <w:pPr>
        <w:pStyle w:val="13"/>
        <w:rPr>
          <w:rFonts w:ascii="Times New Roman" w:hAnsi="Times New Roman" w:cs="Times New Roman"/>
          <w:sz w:val="72"/>
          <w:szCs w:val="72"/>
        </w:rPr>
      </w:pPr>
    </w:p>
    <w:p w14:paraId="6560F5DF">
      <w:pPr>
        <w:pStyle w:val="13"/>
        <w:jc w:val="center"/>
        <w:rPr>
          <w:rFonts w:ascii="Times New Roman" w:hAnsi="Times New Roman" w:cs="Times New Roman"/>
          <w:sz w:val="72"/>
          <w:szCs w:val="72"/>
        </w:rPr>
      </w:pPr>
    </w:p>
    <w:p w14:paraId="36679A15">
      <w:pPr>
        <w:pStyle w:val="13"/>
        <w:jc w:val="center"/>
        <w:rPr>
          <w:rFonts w:ascii="Times New Roman" w:hAnsi="Times New Roman" w:eastAsia="方正小标宋_GBK" w:cs="Times New Roman"/>
          <w:sz w:val="72"/>
          <w:szCs w:val="72"/>
        </w:rPr>
      </w:pPr>
    </w:p>
    <w:p w14:paraId="7131112F">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EB4918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FA2025F">
      <w:pPr>
        <w:widowControl/>
        <w:jc w:val="left"/>
        <w:rPr>
          <w:rFonts w:ascii="Times New Roman" w:hAnsi="Times New Roman" w:cs="Times New Roman"/>
          <w:sz w:val="32"/>
          <w:szCs w:val="32"/>
        </w:rPr>
      </w:pPr>
      <w:r>
        <w:br w:type="page"/>
      </w:r>
    </w:p>
    <w:p w14:paraId="00AC01B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4E354C1">
      <w:pPr>
        <w:pStyle w:val="13"/>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791.34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25.73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3.36</w:t>
      </w:r>
      <w:r>
        <w:rPr>
          <w:rFonts w:ascii="Times New Roman" w:hAnsi="Times New Roman" w:eastAsia="仿宋_GB2312" w:cs="Times New Roman"/>
          <w:sz w:val="32"/>
          <w:szCs w:val="32"/>
        </w:rPr>
        <w:t>%，主要是因为</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bCs/>
          <w:color w:val="auto"/>
          <w:sz w:val="32"/>
          <w:szCs w:val="32"/>
          <w:u w:val="none"/>
        </w:rPr>
        <w:t>乡镇卫生院成立县域紧密型医共体之后，乡镇卫生院能够资源共享，加大了对基础设施建设、医疗专用设备及专业人才的投入，业务水平</w:t>
      </w:r>
      <w:r>
        <w:rPr>
          <w:rFonts w:hint="eastAsia" w:ascii="Times New Roman" w:hAnsi="Times New Roman" w:eastAsia="仿宋_GB2312" w:cs="Times New Roman"/>
          <w:bCs/>
          <w:color w:val="auto"/>
          <w:sz w:val="32"/>
          <w:szCs w:val="32"/>
          <w:u w:val="none"/>
          <w:lang w:eastAsia="zh-CN"/>
        </w:rPr>
        <w:t>大幅提升</w:t>
      </w:r>
      <w:r>
        <w:rPr>
          <w:rFonts w:hint="eastAsia" w:ascii="Times New Roman" w:hAnsi="Times New Roman" w:eastAsia="仿宋_GB2312" w:cs="Times New Roman"/>
          <w:bCs/>
          <w:color w:val="auto"/>
          <w:sz w:val="32"/>
          <w:szCs w:val="32"/>
          <w:u w:val="none"/>
        </w:rPr>
        <w:t>，卫生院业务收入增加。</w:t>
      </w:r>
    </w:p>
    <w:p w14:paraId="7D9130D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1487D8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791.34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448.02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56.62</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343.32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43.38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DF21FB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CDABE7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791.34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598.73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75.66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192.62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24.34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367491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57B3785">
      <w:pPr>
        <w:pStyle w:val="13"/>
        <w:overflowPunct w:val="0"/>
        <w:autoSpaceDE/>
        <w:autoSpaceDN/>
        <w:spacing w:line="600" w:lineRule="exact"/>
        <w:ind w:firstLine="640" w:firstLineChars="200"/>
        <w:jc w:val="both"/>
        <w:rPr>
          <w:rFonts w:hint="eastAsia" w:ascii="Times New Roman" w:hAnsi="Times New Roman" w:eastAsia="仿宋_GB2312" w:cs="Times New Roman"/>
          <w:bCs/>
          <w:color w:val="auto"/>
          <w:sz w:val="32"/>
          <w:szCs w:val="32"/>
          <w:u w:val="none"/>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448.02</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37.02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主要是因为</w:t>
      </w:r>
      <w:r>
        <w:rPr>
          <w:rFonts w:hint="eastAsia" w:ascii="Times New Roman" w:hAnsi="Times New Roman" w:eastAsia="仿宋_GB2312" w:cs="Times New Roman"/>
          <w:bCs/>
          <w:color w:val="auto"/>
          <w:sz w:val="32"/>
          <w:szCs w:val="32"/>
          <w:u w:val="none"/>
        </w:rPr>
        <w:t>乡镇卫生院能够资源共享，加大了对基础设施建设、医疗专用设备及专业人才的投入，业务水平</w:t>
      </w:r>
      <w:r>
        <w:rPr>
          <w:rFonts w:hint="eastAsia" w:ascii="Times New Roman" w:hAnsi="Times New Roman" w:eastAsia="仿宋_GB2312" w:cs="Times New Roman"/>
          <w:bCs/>
          <w:color w:val="auto"/>
          <w:sz w:val="32"/>
          <w:szCs w:val="32"/>
          <w:u w:val="none"/>
          <w:lang w:eastAsia="zh-CN"/>
        </w:rPr>
        <w:t>大幅提升</w:t>
      </w:r>
      <w:r>
        <w:rPr>
          <w:rFonts w:hint="eastAsia" w:ascii="Times New Roman" w:hAnsi="Times New Roman" w:eastAsia="仿宋_GB2312" w:cs="Times New Roman"/>
          <w:bCs/>
          <w:color w:val="auto"/>
          <w:sz w:val="32"/>
          <w:szCs w:val="32"/>
          <w:u w:val="none"/>
        </w:rPr>
        <w:t>，卫生院业务收入增加</w:t>
      </w:r>
      <w:r>
        <w:rPr>
          <w:rFonts w:hint="eastAsia" w:ascii="Times New Roman" w:hAnsi="Times New Roman" w:eastAsia="仿宋_GB2312" w:cs="Times New Roman"/>
          <w:bCs/>
          <w:color w:val="auto"/>
          <w:sz w:val="32"/>
          <w:szCs w:val="32"/>
          <w:u w:val="none"/>
          <w:lang w:eastAsia="zh-CN"/>
        </w:rPr>
        <w:t>。</w:t>
      </w:r>
    </w:p>
    <w:p w14:paraId="440CC99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422AA9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CF5EAC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448.02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56.62</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37.02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%，主要是因为主要是因为</w:t>
      </w:r>
      <w:r>
        <w:rPr>
          <w:rFonts w:hint="eastAsia" w:ascii="Times New Roman" w:hAnsi="Times New Roman" w:eastAsia="仿宋_GB2312" w:cs="Times New Roman"/>
          <w:sz w:val="32"/>
          <w:szCs w:val="32"/>
          <w:lang w:eastAsia="zh-CN"/>
        </w:rPr>
        <w:t>人员成本上升，医疗保险单位部分由财政拨付。</w:t>
      </w:r>
    </w:p>
    <w:p w14:paraId="6246A7D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57B2B13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124666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448.02</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417.15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，社会保障就业支出</w:t>
      </w:r>
      <w:r>
        <w:rPr>
          <w:rFonts w:hint="eastAsia" w:ascii="Times New Roman" w:hAnsi="Times New Roman" w:eastAsia="仿宋_GB2312" w:cs="Times New Roman"/>
          <w:sz w:val="32"/>
          <w:szCs w:val="32"/>
          <w:lang w:val="en-US" w:eastAsia="zh-CN"/>
        </w:rPr>
        <w:t>30.87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6.89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590896C">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BC871F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482.15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448.02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92.92</w:t>
      </w:r>
      <w:r>
        <w:rPr>
          <w:rFonts w:ascii="Times New Roman" w:hAnsi="Times New Roman" w:eastAsia="仿宋_GB2312" w:cs="Times New Roman"/>
          <w:sz w:val="32"/>
          <w:szCs w:val="32"/>
        </w:rPr>
        <w:t>%，其中：</w:t>
      </w:r>
    </w:p>
    <w:p w14:paraId="51D099D4">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208（类）行政事业单位养老支出20805（款）机关事业单位基本养老保险缴费支出2080505（项）</w:t>
      </w:r>
      <w:r>
        <w:rPr>
          <w:rFonts w:ascii="Times New Roman" w:hAnsi="Times New Roman" w:eastAsia="仿宋_GB2312" w:cs="Times New Roman"/>
          <w:color w:val="auto"/>
          <w:sz w:val="32"/>
          <w:szCs w:val="32"/>
        </w:rPr>
        <w:t>。</w:t>
      </w:r>
    </w:p>
    <w:p w14:paraId="2BB94D7A">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20.91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109.99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A9811D4">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210（类）基层医疗机构21003（款）乡镇卫生院2100302（项）</w:t>
      </w:r>
      <w:r>
        <w:rPr>
          <w:rFonts w:ascii="Times New Roman" w:hAnsi="Times New Roman" w:eastAsia="仿宋_GB2312" w:cs="Times New Roman"/>
          <w:color w:val="auto"/>
          <w:sz w:val="32"/>
          <w:szCs w:val="32"/>
        </w:rPr>
        <w:t>。</w:t>
      </w:r>
    </w:p>
    <w:p w14:paraId="23535261">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199.23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169.84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85.25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56D57026">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 xml:space="preserve">  卫生健康支出</w:t>
      </w:r>
      <w:r>
        <w:rPr>
          <w:rFonts w:hint="eastAsia" w:ascii="Times New Roman" w:hAnsi="Times New Roman" w:eastAsia="仿宋_GB2312" w:cs="Times New Roman"/>
          <w:color w:val="auto"/>
          <w:sz w:val="32"/>
          <w:szCs w:val="32"/>
          <w:lang w:val="en-US" w:eastAsia="zh-CN"/>
        </w:rPr>
        <w:t>210（类） 基层医疗卫生机构21003（款）   其他基层医疗卫生机构支出2100399（项）</w:t>
      </w:r>
      <w:r>
        <w:rPr>
          <w:rFonts w:ascii="Times New Roman" w:hAnsi="Times New Roman" w:eastAsia="仿宋_GB2312" w:cs="Times New Roman"/>
          <w:color w:val="auto"/>
          <w:sz w:val="32"/>
          <w:szCs w:val="32"/>
        </w:rPr>
        <w:t>。</w:t>
      </w:r>
    </w:p>
    <w:p w14:paraId="7F97A015">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36.8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47.22</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128.32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32503713">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210（类）公共卫生21004（款）基本公共卫生服务 2100408 （项）</w:t>
      </w:r>
      <w:r>
        <w:rPr>
          <w:rFonts w:ascii="Times New Roman" w:hAnsi="Times New Roman" w:eastAsia="仿宋_GB2312" w:cs="Times New Roman"/>
          <w:color w:val="auto"/>
          <w:sz w:val="32"/>
          <w:szCs w:val="32"/>
        </w:rPr>
        <w:t>。</w:t>
      </w:r>
    </w:p>
    <w:p w14:paraId="7B8F7532">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203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192.62</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94.87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2510A83C">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210（类）行政事业单位医疗21011（款）  事业单位医疗 2101102（项）</w:t>
      </w:r>
      <w:r>
        <w:rPr>
          <w:rFonts w:ascii="Times New Roman" w:hAnsi="Times New Roman" w:eastAsia="仿宋_GB2312" w:cs="Times New Roman"/>
          <w:color w:val="auto"/>
          <w:sz w:val="32"/>
          <w:szCs w:val="32"/>
        </w:rPr>
        <w:t>。</w:t>
      </w:r>
    </w:p>
    <w:p w14:paraId="30CD2614">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6.53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7.48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114.55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1F455DB9">
      <w:pPr>
        <w:pStyle w:val="13"/>
        <w:numPr>
          <w:ilvl w:val="0"/>
          <w:numId w:val="1"/>
        </w:numPr>
        <w:overflowPunct w:val="0"/>
        <w:autoSpaceDE/>
        <w:autoSpaceDN/>
        <w:spacing w:line="600" w:lineRule="exact"/>
        <w:ind w:left="-10" w:leftChars="0" w:firstLine="640" w:firstLineChars="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住房保障支出</w:t>
      </w:r>
      <w:r>
        <w:rPr>
          <w:rFonts w:hint="eastAsia" w:ascii="Times New Roman" w:hAnsi="Times New Roman" w:eastAsia="仿宋_GB2312" w:cs="Times New Roman"/>
          <w:color w:val="auto"/>
          <w:sz w:val="32"/>
          <w:szCs w:val="32"/>
          <w:lang w:val="en-US" w:eastAsia="zh-CN"/>
        </w:rPr>
        <w:t>221（类）住房改革支出22102（款）住房公积金2210201 （项）</w:t>
      </w:r>
      <w:r>
        <w:rPr>
          <w:rFonts w:ascii="Times New Roman" w:hAnsi="Times New Roman" w:eastAsia="仿宋_GB2312" w:cs="Times New Roman"/>
          <w:color w:val="auto"/>
          <w:sz w:val="32"/>
          <w:szCs w:val="32"/>
        </w:rPr>
        <w:t>。</w:t>
      </w:r>
    </w:p>
    <w:p w14:paraId="744DCC24">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15.68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14:paraId="66D5D190">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208（类）抚恤20808（款）死亡抚恤2080801（项）</w:t>
      </w:r>
      <w:r>
        <w:rPr>
          <w:rFonts w:ascii="Times New Roman" w:hAnsi="Times New Roman" w:eastAsia="仿宋_GB2312" w:cs="Times New Roman"/>
          <w:color w:val="auto"/>
          <w:sz w:val="32"/>
          <w:szCs w:val="32"/>
        </w:rPr>
        <w:t>。</w:t>
      </w:r>
    </w:p>
    <w:p w14:paraId="41CF0D10">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6.7</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14:paraId="36B7FBDF">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208（类）行政事业单位养老支出20805（款）</w:t>
      </w:r>
      <w:r>
        <w:rPr>
          <w:rFonts w:hint="eastAsia" w:ascii="宋体" w:hAnsi="宋体" w:eastAsia="宋体" w:cs="宋体"/>
          <w:i w:val="0"/>
          <w:iCs w:val="0"/>
          <w:color w:val="auto"/>
          <w:kern w:val="0"/>
          <w:sz w:val="30"/>
          <w:szCs w:val="30"/>
          <w:u w:val="none"/>
          <w:lang w:val="en-US" w:eastAsia="zh-CN" w:bidi="ar"/>
        </w:rPr>
        <w:t>其他行政事业单位养老支出</w:t>
      </w:r>
      <w:r>
        <w:rPr>
          <w:rFonts w:hint="eastAsia" w:ascii="Times New Roman" w:hAnsi="Times New Roman" w:eastAsia="仿宋_GB2312" w:cs="Times New Roman"/>
          <w:color w:val="auto"/>
          <w:sz w:val="32"/>
          <w:szCs w:val="32"/>
          <w:lang w:val="en-US" w:eastAsia="zh-CN"/>
        </w:rPr>
        <w:t>2080599（项）</w:t>
      </w:r>
      <w:r>
        <w:rPr>
          <w:rFonts w:ascii="Times New Roman" w:hAnsi="Times New Roman" w:eastAsia="仿宋_GB2312" w:cs="Times New Roman"/>
          <w:color w:val="auto"/>
          <w:sz w:val="32"/>
          <w:szCs w:val="32"/>
        </w:rPr>
        <w:t>。</w:t>
      </w:r>
    </w:p>
    <w:p w14:paraId="6C88FB67">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1.18</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14:paraId="2DFEEB4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986421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255.41</w:t>
      </w:r>
      <w:r>
        <w:rPr>
          <w:rFonts w:ascii="Times New Roman" w:hAnsi="Times New Roman" w:eastAsia="仿宋_GB2312" w:cs="Times New Roman"/>
          <w:sz w:val="32"/>
          <w:szCs w:val="32"/>
        </w:rPr>
        <w:t>万元，其中：</w:t>
      </w:r>
    </w:p>
    <w:p w14:paraId="3AF894F1">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b w:val="0"/>
          <w:bCs w:val="0"/>
          <w:sz w:val="32"/>
          <w:szCs w:val="32"/>
        </w:rPr>
        <w:t>人员经费</w:t>
      </w:r>
      <w:r>
        <w:rPr>
          <w:rFonts w:hint="eastAsia" w:ascii="Times New Roman" w:hAnsi="Times New Roman" w:eastAsia="仿宋_GB2312" w:cs="Times New Roman"/>
          <w:sz w:val="32"/>
          <w:szCs w:val="32"/>
          <w:lang w:val="en-US" w:eastAsia="zh-CN"/>
        </w:rPr>
        <w:t>251.85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98.61</w:t>
      </w:r>
      <w:r>
        <w:rPr>
          <w:rFonts w:ascii="Times New Roman" w:hAnsi="Times New Roman" w:eastAsia="仿宋_GB2312" w:cs="Times New Roman"/>
          <w:sz w:val="32"/>
          <w:szCs w:val="32"/>
        </w:rPr>
        <w:t>%,主要包括基本工资、津贴补贴、</w:t>
      </w:r>
      <w:r>
        <w:rPr>
          <w:rFonts w:hint="eastAsia" w:ascii="Times New Roman" w:hAnsi="Times New Roman" w:eastAsia="仿宋_GB2312" w:cs="Times New Roman"/>
          <w:color w:val="auto"/>
          <w:sz w:val="32"/>
          <w:szCs w:val="32"/>
          <w:u w:val="none"/>
          <w:lang w:eastAsia="zh-CN"/>
        </w:rPr>
        <w:t>机关事业单位</w:t>
      </w:r>
      <w:r>
        <w:rPr>
          <w:rFonts w:hint="eastAsia" w:ascii="Times New Roman" w:hAnsi="Times New Roman" w:eastAsia="仿宋_GB2312" w:cs="Times New Roman"/>
          <w:color w:val="auto"/>
          <w:sz w:val="32"/>
          <w:szCs w:val="32"/>
          <w:u w:val="none"/>
          <w:lang w:val="en-US" w:eastAsia="zh-CN"/>
        </w:rPr>
        <w:t>基本</w:t>
      </w:r>
      <w:r>
        <w:rPr>
          <w:rFonts w:hint="eastAsia" w:ascii="Times New Roman" w:hAnsi="Times New Roman" w:eastAsia="仿宋_GB2312" w:cs="Times New Roman"/>
          <w:color w:val="auto"/>
          <w:sz w:val="32"/>
          <w:szCs w:val="32"/>
          <w:u w:val="none"/>
          <w:lang w:eastAsia="zh-CN"/>
        </w:rPr>
        <w:t>养老保险</w:t>
      </w:r>
      <w:r>
        <w:rPr>
          <w:rFonts w:hint="eastAsia" w:ascii="Times New Roman" w:hAnsi="Times New Roman" w:eastAsia="仿宋_GB2312" w:cs="Times New Roman"/>
          <w:color w:val="auto"/>
          <w:sz w:val="32"/>
          <w:szCs w:val="32"/>
          <w:u w:val="none"/>
          <w:lang w:val="en-US" w:eastAsia="zh-CN"/>
        </w:rPr>
        <w:t>费</w:t>
      </w:r>
      <w:r>
        <w:rPr>
          <w:rFonts w:hint="eastAsia" w:ascii="Times New Roman" w:hAnsi="Times New Roman" w:eastAsia="仿宋_GB2312" w:cs="Times New Roman"/>
          <w:color w:val="auto"/>
          <w:sz w:val="32"/>
          <w:szCs w:val="32"/>
          <w:u w:val="none"/>
          <w:lang w:eastAsia="zh-CN"/>
        </w:rPr>
        <w:t>、职工基本医疗保险缴费。</w:t>
      </w:r>
      <w:r>
        <w:rPr>
          <w:rFonts w:ascii="Times New Roman" w:hAnsi="Times New Roman" w:eastAsia="仿宋_GB2312" w:cs="Times New Roman"/>
          <w:b w:val="0"/>
          <w:bCs w:val="0"/>
          <w:sz w:val="32"/>
          <w:szCs w:val="32"/>
        </w:rPr>
        <w:t>公用经费</w:t>
      </w:r>
      <w:r>
        <w:rPr>
          <w:rFonts w:hint="eastAsia" w:ascii="Times New Roman" w:hAnsi="Times New Roman" w:eastAsia="仿宋_GB2312" w:cs="Times New Roman"/>
          <w:sz w:val="32"/>
          <w:szCs w:val="32"/>
          <w:lang w:val="en-US" w:eastAsia="zh-CN"/>
        </w:rPr>
        <w:t>3.56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1.39</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lang w:eastAsia="zh-CN"/>
        </w:rPr>
        <w:t>办公经费及其他经费</w:t>
      </w:r>
      <w:r>
        <w:rPr>
          <w:rFonts w:ascii="Times New Roman" w:hAnsi="Times New Roman" w:eastAsia="仿宋_GB2312" w:cs="Times New Roman"/>
          <w:sz w:val="32"/>
          <w:szCs w:val="32"/>
        </w:rPr>
        <w:t>。</w:t>
      </w:r>
    </w:p>
    <w:p w14:paraId="59318524">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2E30106D">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FA4C59D">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1D66396C">
      <w:pPr>
        <w:pStyle w:val="13"/>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highlight w:val="yellow"/>
          <w:lang w:eastAsia="zh-CN"/>
          <w14:textFill>
            <w14:solidFill>
              <w14:schemeClr w14:val="tx1"/>
            </w14:solidFill>
          </w14:textFill>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0.31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0.31</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%；与上年相比</w:t>
      </w:r>
      <w:r>
        <w:rPr>
          <w:rFonts w:ascii="Times New Roman" w:hAnsi="Times New Roman" w:eastAsia="仿宋_GB2312" w:cs="Times New Roman"/>
          <w:color w:val="000000" w:themeColor="text1"/>
          <w:sz w:val="32"/>
          <w:szCs w:val="32"/>
          <w14:textFill>
            <w14:solidFill>
              <w14:schemeClr w14:val="tx1"/>
            </w14:solidFill>
          </w14:textFill>
        </w:rPr>
        <w:t>增加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0.31</w:t>
      </w:r>
      <w:r>
        <w:rPr>
          <w:rFonts w:ascii="Times New Roman" w:hAnsi="Times New Roman" w:eastAsia="仿宋_GB2312" w:cs="Times New Roman"/>
          <w:color w:val="000000" w:themeColor="text1"/>
          <w:sz w:val="32"/>
          <w:szCs w:val="32"/>
          <w14:textFill>
            <w14:solidFill>
              <w14:schemeClr w14:val="tx1"/>
            </w14:solidFill>
          </w14:textFill>
        </w:rPr>
        <w:t>万元。决算数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与</w:t>
      </w:r>
      <w:r>
        <w:rPr>
          <w:rFonts w:ascii="Times New Roman" w:hAnsi="Times New Roman" w:eastAsia="仿宋_GB2312" w:cs="Times New Roman"/>
          <w:color w:val="000000" w:themeColor="text1"/>
          <w:sz w:val="32"/>
          <w:szCs w:val="32"/>
          <w14:textFill>
            <w14:solidFill>
              <w14:schemeClr w14:val="tx1"/>
            </w14:solidFill>
          </w14:textFill>
        </w:rPr>
        <w:t>预算数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持平</w:t>
      </w:r>
      <w:r>
        <w:rPr>
          <w:rFonts w:ascii="Times New Roman" w:hAnsi="Times New Roman" w:eastAsia="仿宋_GB2312" w:cs="Times New Roman"/>
          <w:color w:val="000000" w:themeColor="text1"/>
          <w:sz w:val="32"/>
          <w:szCs w:val="32"/>
          <w14:textFill>
            <w14:solidFill>
              <w14:schemeClr w14:val="tx1"/>
            </w14:solidFill>
          </w14:textFill>
        </w:rPr>
        <w:t>。决算数大于上年数的主要原因是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上级机关各项检查、考察导致公务接待增加。</w:t>
      </w:r>
    </w:p>
    <w:p w14:paraId="68CBEB98">
      <w:pPr>
        <w:pStyle w:val="13"/>
        <w:overflowPunct w:val="0"/>
        <w:autoSpaceDE/>
        <w:autoSpaceDN/>
        <w:spacing w:line="600" w:lineRule="exact"/>
        <w:jc w:val="both"/>
        <w:rPr>
          <w:rFonts w:ascii="Times New Roman" w:hAnsi="Times New Roman" w:eastAsia="仿宋_GB2312" w:cs="Times New Roman"/>
          <w:color w:val="FF0000"/>
          <w:sz w:val="32"/>
          <w:szCs w:val="32"/>
        </w:rPr>
      </w:pPr>
    </w:p>
    <w:p w14:paraId="17A458E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BD5816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u w:val="none"/>
        </w:rPr>
        <w:t>本单位无政府性基金收支</w:t>
      </w:r>
      <w:r>
        <w:rPr>
          <w:rFonts w:hint="eastAsia" w:ascii="Times New Roman" w:hAnsi="Times New Roman" w:eastAsia="仿宋_GB2312" w:cs="Times New Roman"/>
          <w:color w:val="auto"/>
          <w:sz w:val="32"/>
          <w:szCs w:val="32"/>
          <w:u w:val="none"/>
          <w:lang w:eastAsia="zh-CN"/>
        </w:rPr>
        <w:t>。</w:t>
      </w:r>
    </w:p>
    <w:p w14:paraId="31CE6D1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2753229">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本单位无</w:t>
      </w:r>
      <w:r>
        <w:rPr>
          <w:rFonts w:hint="eastAsia" w:ascii="Times New Roman" w:hAnsi="Times New Roman" w:eastAsia="仿宋_GB2312" w:cs="Times New Roman"/>
          <w:color w:val="auto"/>
          <w:sz w:val="32"/>
          <w:szCs w:val="32"/>
          <w:u w:val="none"/>
          <w:lang w:eastAsia="zh-CN"/>
        </w:rPr>
        <w:t>国有资本经营预算支出。</w:t>
      </w:r>
    </w:p>
    <w:p w14:paraId="6BF3777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8512D2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0.8</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eastAsia="zh-CN"/>
        </w:rPr>
        <w:t>乡村医生</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每一季度工作汇报，主要有慢性病随访、老年人体检、家庭医生签约、</w:t>
      </w:r>
      <w:r>
        <w:rPr>
          <w:rFonts w:hint="eastAsia" w:ascii="Times New Roman" w:hAnsi="Times New Roman" w:eastAsia="仿宋_GB2312" w:cs="Times New Roman"/>
          <w:sz w:val="32"/>
          <w:szCs w:val="32"/>
          <w:lang w:val="en-US" w:eastAsia="zh-CN"/>
        </w:rPr>
        <w:t>3.0门诊报账、医疗废弃物处置、医疗人员能力提升</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0.41</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定向生继续教育</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消防安全培训，人数</w:t>
      </w:r>
      <w:r>
        <w:rPr>
          <w:rFonts w:hint="eastAsia" w:ascii="Times New Roman" w:hAnsi="Times New Roman" w:eastAsia="仿宋_GB2312" w:cs="Times New Roman"/>
          <w:sz w:val="32"/>
          <w:szCs w:val="32"/>
          <w:lang w:val="en-US" w:eastAsia="zh-CN"/>
        </w:rPr>
        <w:t>4人，精卫专干培训1人。</w:t>
      </w:r>
    </w:p>
    <w:p w14:paraId="5FA43CF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0AE9153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政府采购支出</w:t>
      </w:r>
      <w:r>
        <w:rPr>
          <w:rFonts w:hint="eastAsia" w:ascii="Times New Roman" w:hAnsi="Times New Roman" w:eastAsia="仿宋_GB2312" w:cs="Times New Roman"/>
          <w:sz w:val="32"/>
          <w:szCs w:val="32"/>
          <w:lang w:eastAsia="zh-CN"/>
        </w:rPr>
        <w:t>。</w:t>
      </w:r>
    </w:p>
    <w:p w14:paraId="5938E74A">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602C0F9">
      <w:pPr>
        <w:pStyle w:val="13"/>
        <w:overflowPunct w:val="0"/>
        <w:autoSpaceDE/>
        <w:autoSpaceDN/>
        <w:spacing w:line="600" w:lineRule="exact"/>
        <w:ind w:firstLine="640" w:firstLineChars="200"/>
        <w:jc w:val="both"/>
        <w:rPr>
          <w:rFonts w:ascii="Times New Roman" w:hAnsi="Times New Roman" w:cs="Times New Roman"/>
          <w:color w:val="auto"/>
          <w:sz w:val="72"/>
          <w:szCs w:val="7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（为救护车）</w:t>
      </w:r>
      <w:r>
        <w:rPr>
          <w:rFonts w:ascii="Times New Roman" w:hAnsi="Times New Roman" w:eastAsia="仿宋_GB2312" w:cs="Times New Roman"/>
          <w:color w:val="auto"/>
          <w:sz w:val="32"/>
          <w:szCs w:val="32"/>
        </w:rPr>
        <w:t>、离退休干部服务用车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5F03BBDB">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p>
    <w:p w14:paraId="1D7A1EE5">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542FC60">
      <w:pPr>
        <w:pStyle w:val="13"/>
        <w:jc w:val="center"/>
        <w:rPr>
          <w:rFonts w:ascii="Times New Roman" w:hAnsi="Times New Roman" w:cs="Times New Roman"/>
          <w:sz w:val="72"/>
          <w:szCs w:val="72"/>
        </w:rPr>
      </w:pPr>
      <w:r>
        <w:rPr>
          <w:rFonts w:hint="eastAsia" w:ascii="Times New Roman" w:hAnsi="Times New Roman" w:eastAsia="仿宋_GB2312" w:cs="Times New Roman"/>
          <w:color w:val="auto"/>
          <w:sz w:val="32"/>
          <w:szCs w:val="32"/>
          <w:lang w:eastAsia="zh-CN"/>
        </w:rPr>
        <w:t>详情见附件</w:t>
      </w:r>
      <w:r>
        <w:rPr>
          <w:rFonts w:hint="eastAsia" w:ascii="Times New Roman" w:hAnsi="Times New Roman" w:eastAsia="仿宋_GB2312" w:cs="Times New Roman"/>
          <w:color w:val="auto"/>
          <w:sz w:val="32"/>
          <w:szCs w:val="32"/>
          <w:lang w:val="en-US" w:eastAsia="zh-CN"/>
        </w:rPr>
        <w:t>2024年度绩效自评报告。</w:t>
      </w:r>
    </w:p>
    <w:p w14:paraId="3C769417">
      <w:pPr>
        <w:pStyle w:val="13"/>
        <w:jc w:val="center"/>
        <w:rPr>
          <w:rFonts w:ascii="Times New Roman" w:hAnsi="Times New Roman" w:cs="Times New Roman"/>
          <w:sz w:val="72"/>
          <w:szCs w:val="72"/>
        </w:rPr>
      </w:pPr>
    </w:p>
    <w:p w14:paraId="6FC6A6A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F85A4E6">
      <w:pPr>
        <w:widowControl/>
        <w:jc w:val="left"/>
        <w:rPr>
          <w:rFonts w:ascii="Times New Roman" w:hAnsi="Times New Roman" w:cs="Times New Roman"/>
          <w:color w:val="000000"/>
          <w:kern w:val="0"/>
          <w:sz w:val="32"/>
          <w:szCs w:val="32"/>
        </w:rPr>
      </w:pPr>
    </w:p>
    <w:p w14:paraId="5CB10987">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026D6BC7">
      <w:pPr>
        <w:widowControl/>
        <w:spacing w:line="600" w:lineRule="exact"/>
        <w:ind w:firstLine="660"/>
        <w:rPr>
          <w:rFonts w:hint="eastAsia" w:ascii="宋体" w:hAnsi="宋体" w:cs="黑体"/>
          <w:color w:val="000000"/>
          <w:kern w:val="0"/>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12306D0D">
      <w:pPr>
        <w:pStyle w:val="13"/>
        <w:jc w:val="center"/>
        <w:rPr>
          <w:rFonts w:ascii="Times New Roman" w:hAnsi="Times New Roman" w:cs="Times New Roman"/>
          <w:sz w:val="72"/>
          <w:szCs w:val="72"/>
        </w:rPr>
      </w:pPr>
    </w:p>
    <w:p w14:paraId="72E32B2D">
      <w:pPr>
        <w:pStyle w:val="13"/>
        <w:jc w:val="center"/>
        <w:rPr>
          <w:rFonts w:ascii="Times New Roman" w:hAnsi="Times New Roman" w:cs="Times New Roman"/>
          <w:sz w:val="72"/>
          <w:szCs w:val="72"/>
        </w:rPr>
      </w:pPr>
    </w:p>
    <w:p w14:paraId="2357FDF4">
      <w:pPr>
        <w:pStyle w:val="13"/>
        <w:spacing w:line="360" w:lineRule="auto"/>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42AB6728">
      <w:pPr>
        <w:rPr>
          <w:rFonts w:ascii="Times New Roman" w:hAnsi="Times New Roman" w:cs="Times New Roman"/>
          <w:sz w:val="72"/>
          <w:szCs w:val="72"/>
        </w:rPr>
      </w:pPr>
    </w:p>
    <w:p w14:paraId="5A4770B6">
      <w:pPr>
        <w:ind w:firstLine="640" w:firstLineChars="200"/>
        <w:jc w:val="left"/>
        <w:rPr>
          <w:rFonts w:hint="eastAsia" w:ascii="黑体" w:hAnsi="黑体" w:eastAsia="黑体" w:cs="黑体"/>
          <w:b w:val="0"/>
          <w:bCs w:val="0"/>
          <w:color w:val="000000"/>
          <w:kern w:val="0"/>
          <w:sz w:val="32"/>
          <w:szCs w:val="32"/>
        </w:rPr>
      </w:pPr>
      <w:r>
        <w:rPr>
          <w:rFonts w:hint="eastAsia" w:ascii="黑体" w:hAnsi="黑体" w:eastAsia="黑体"/>
          <w:b w:val="0"/>
          <w:bCs w:val="0"/>
          <w:kern w:val="0"/>
          <w:sz w:val="32"/>
          <w:szCs w:val="32"/>
          <w:lang w:val="en-US" w:eastAsia="zh-CN"/>
        </w:rPr>
        <w:t>2024</w:t>
      </w:r>
      <w:r>
        <w:rPr>
          <w:rFonts w:hint="eastAsia" w:ascii="黑体" w:hAnsi="黑体" w:eastAsia="黑体" w:cs="黑体"/>
          <w:b w:val="0"/>
          <w:bCs w:val="0"/>
          <w:color w:val="000000"/>
          <w:kern w:val="0"/>
          <w:sz w:val="32"/>
          <w:szCs w:val="32"/>
        </w:rPr>
        <w:t>年度部门整体支出绩效</w:t>
      </w:r>
      <w:r>
        <w:rPr>
          <w:rFonts w:hint="eastAsia" w:ascii="黑体" w:hAnsi="黑体" w:eastAsia="黑体" w:cs="黑体"/>
          <w:b w:val="0"/>
          <w:bCs w:val="0"/>
          <w:color w:val="000000"/>
          <w:kern w:val="0"/>
          <w:sz w:val="32"/>
          <w:szCs w:val="32"/>
          <w:lang w:val="en-US" w:eastAsia="zh-CN"/>
        </w:rPr>
        <w:t>自评</w:t>
      </w:r>
      <w:r>
        <w:rPr>
          <w:rFonts w:hint="eastAsia" w:ascii="黑体" w:hAnsi="黑体" w:eastAsia="黑体" w:cs="黑体"/>
          <w:b w:val="0"/>
          <w:bCs w:val="0"/>
          <w:color w:val="000000"/>
          <w:kern w:val="0"/>
          <w:sz w:val="32"/>
          <w:szCs w:val="32"/>
        </w:rPr>
        <w:t>报告</w:t>
      </w:r>
    </w:p>
    <w:p w14:paraId="32EBFE28">
      <w:pPr>
        <w:ind w:firstLine="600" w:firstLineChars="200"/>
        <w:jc w:val="both"/>
        <w:rPr>
          <w:rFonts w:hint="eastAsia"/>
          <w:sz w:val="30"/>
          <w:szCs w:val="30"/>
        </w:rPr>
      </w:pPr>
      <w:r>
        <w:rPr>
          <w:rFonts w:hint="eastAsia"/>
          <w:sz w:val="30"/>
          <w:szCs w:val="30"/>
          <w:lang w:eastAsia="zh-CN"/>
        </w:rPr>
        <w:t>蓝山县太平圩镇</w:t>
      </w:r>
      <w:r>
        <w:rPr>
          <w:rFonts w:hint="eastAsia"/>
          <w:sz w:val="30"/>
          <w:szCs w:val="30"/>
        </w:rPr>
        <w:t>卫生院20</w:t>
      </w:r>
      <w:r>
        <w:rPr>
          <w:rFonts w:hint="eastAsia"/>
          <w:sz w:val="30"/>
          <w:szCs w:val="30"/>
          <w:lang w:val="en-US" w:eastAsia="zh-CN"/>
        </w:rPr>
        <w:t>24</w:t>
      </w:r>
      <w:r>
        <w:rPr>
          <w:rFonts w:hint="eastAsia"/>
          <w:sz w:val="30"/>
          <w:szCs w:val="30"/>
        </w:rPr>
        <w:t>年绩效自评报告</w:t>
      </w:r>
    </w:p>
    <w:p w14:paraId="661DB345">
      <w:pPr>
        <w:rPr>
          <w:rFonts w:hint="eastAsia"/>
          <w:sz w:val="28"/>
          <w:szCs w:val="28"/>
        </w:rPr>
      </w:pPr>
      <w:r>
        <w:rPr>
          <w:rFonts w:hint="eastAsia"/>
          <w:sz w:val="28"/>
          <w:szCs w:val="28"/>
          <w:lang w:eastAsia="zh-CN"/>
        </w:rPr>
        <w:t>一</w:t>
      </w:r>
      <w:r>
        <w:rPr>
          <w:rFonts w:hint="eastAsia"/>
          <w:sz w:val="28"/>
          <w:szCs w:val="28"/>
        </w:rPr>
        <w:t>、基本情况</w:t>
      </w:r>
    </w:p>
    <w:p w14:paraId="394CB5E6">
      <w:pPr>
        <w:rPr>
          <w:rFonts w:hint="eastAsia"/>
          <w:sz w:val="28"/>
          <w:szCs w:val="28"/>
        </w:rPr>
      </w:pPr>
      <w:r>
        <w:rPr>
          <w:rFonts w:hint="eastAsia"/>
          <w:sz w:val="28"/>
          <w:szCs w:val="28"/>
        </w:rPr>
        <w:t xml:space="preserve">1. 单位概况  </w:t>
      </w:r>
    </w:p>
    <w:p w14:paraId="2000046C">
      <w:pPr>
        <w:rPr>
          <w:rFonts w:hint="eastAsia"/>
          <w:sz w:val="28"/>
          <w:szCs w:val="28"/>
        </w:rPr>
      </w:pPr>
      <w:r>
        <w:rPr>
          <w:rFonts w:hint="eastAsia"/>
          <w:sz w:val="28"/>
          <w:szCs w:val="28"/>
        </w:rPr>
        <w:t xml:space="preserve">   卫生院基本情况：</w:t>
      </w:r>
      <w:r>
        <w:rPr>
          <w:rFonts w:hint="eastAsia"/>
          <w:sz w:val="28"/>
          <w:szCs w:val="28"/>
          <w:lang w:eastAsia="zh-CN"/>
        </w:rPr>
        <w:t>太平圩镇</w:t>
      </w:r>
      <w:r>
        <w:rPr>
          <w:rFonts w:hint="eastAsia"/>
          <w:sz w:val="28"/>
          <w:szCs w:val="28"/>
        </w:rPr>
        <w:t>卫生院</w:t>
      </w:r>
      <w:r>
        <w:rPr>
          <w:rFonts w:hint="eastAsia"/>
          <w:sz w:val="28"/>
          <w:szCs w:val="28"/>
          <w:lang w:eastAsia="zh-CN"/>
        </w:rPr>
        <w:t>位于太平村</w:t>
      </w:r>
      <w:r>
        <w:rPr>
          <w:rFonts w:hint="eastAsia"/>
          <w:sz w:val="28"/>
          <w:szCs w:val="28"/>
        </w:rPr>
        <w:t>、</w:t>
      </w:r>
      <w:r>
        <w:rPr>
          <w:rFonts w:hint="eastAsia"/>
          <w:sz w:val="28"/>
          <w:szCs w:val="28"/>
          <w:lang w:eastAsia="zh-CN"/>
        </w:rPr>
        <w:t>服务辖区内</w:t>
      </w:r>
      <w:r>
        <w:rPr>
          <w:rFonts w:hint="eastAsia"/>
          <w:sz w:val="28"/>
          <w:szCs w:val="28"/>
          <w:lang w:val="en-US" w:eastAsia="zh-CN"/>
        </w:rPr>
        <w:t>3万余人口</w:t>
      </w:r>
      <w:r>
        <w:rPr>
          <w:rFonts w:hint="eastAsia"/>
          <w:sz w:val="28"/>
          <w:szCs w:val="28"/>
        </w:rPr>
        <w:t>、</w:t>
      </w:r>
      <w:r>
        <w:rPr>
          <w:rFonts w:hint="eastAsia"/>
          <w:sz w:val="28"/>
          <w:szCs w:val="28"/>
          <w:lang w:val="en-US" w:eastAsia="zh-CN"/>
        </w:rPr>
        <w:t>2024年</w:t>
      </w:r>
      <w:r>
        <w:rPr>
          <w:rFonts w:hint="eastAsia"/>
          <w:sz w:val="28"/>
          <w:szCs w:val="28"/>
        </w:rPr>
        <w:t>人员编制</w:t>
      </w:r>
      <w:r>
        <w:rPr>
          <w:rFonts w:hint="eastAsia"/>
          <w:sz w:val="28"/>
          <w:szCs w:val="28"/>
          <w:lang w:eastAsia="zh-CN"/>
        </w:rPr>
        <w:t>数</w:t>
      </w:r>
      <w:r>
        <w:rPr>
          <w:rFonts w:hint="eastAsia"/>
          <w:sz w:val="28"/>
          <w:szCs w:val="28"/>
          <w:lang w:val="en-US" w:eastAsia="zh-CN"/>
        </w:rPr>
        <w:t>28人</w:t>
      </w:r>
      <w:r>
        <w:rPr>
          <w:rFonts w:hint="eastAsia"/>
          <w:sz w:val="28"/>
          <w:szCs w:val="28"/>
        </w:rPr>
        <w:t>、</w:t>
      </w:r>
      <w:r>
        <w:rPr>
          <w:rFonts w:hint="eastAsia"/>
          <w:sz w:val="28"/>
          <w:szCs w:val="28"/>
          <w:lang w:eastAsia="zh-CN"/>
        </w:rPr>
        <w:t>实际开放</w:t>
      </w:r>
      <w:r>
        <w:rPr>
          <w:rFonts w:hint="eastAsia"/>
          <w:sz w:val="28"/>
          <w:szCs w:val="28"/>
        </w:rPr>
        <w:t>床位数</w:t>
      </w:r>
      <w:r>
        <w:rPr>
          <w:rFonts w:hint="eastAsia"/>
          <w:sz w:val="28"/>
          <w:szCs w:val="28"/>
          <w:lang w:val="en-US" w:eastAsia="zh-CN"/>
        </w:rPr>
        <w:t>40张</w:t>
      </w:r>
      <w:r>
        <w:rPr>
          <w:rFonts w:hint="eastAsia"/>
          <w:sz w:val="28"/>
          <w:szCs w:val="28"/>
        </w:rPr>
        <w:t>、科室设置</w:t>
      </w:r>
      <w:r>
        <w:rPr>
          <w:rFonts w:hint="eastAsia"/>
          <w:sz w:val="28"/>
          <w:szCs w:val="28"/>
          <w:lang w:eastAsia="zh-CN"/>
        </w:rPr>
        <w:t>：全科医疗科、内科、外壳、妇产科、儿科、医学检验科、医学影像科、中医科</w:t>
      </w:r>
      <w:r>
        <w:rPr>
          <w:rFonts w:hint="eastAsia"/>
          <w:sz w:val="28"/>
          <w:szCs w:val="28"/>
        </w:rPr>
        <w:t xml:space="preserve">。  </w:t>
      </w:r>
    </w:p>
    <w:p w14:paraId="3676F99F">
      <w:pPr>
        <w:rPr>
          <w:rFonts w:hint="eastAsia"/>
          <w:sz w:val="28"/>
          <w:szCs w:val="28"/>
        </w:rPr>
      </w:pPr>
      <w:r>
        <w:rPr>
          <w:rFonts w:hint="eastAsia"/>
          <w:sz w:val="28"/>
          <w:szCs w:val="28"/>
        </w:rPr>
        <w:t xml:space="preserve">   年度重点工作目标：如基本医疗、公共卫生服务、家庭医生签约、疫情防控等。</w:t>
      </w:r>
    </w:p>
    <w:p w14:paraId="517A1289">
      <w:pPr>
        <w:rPr>
          <w:rFonts w:hint="eastAsia"/>
          <w:sz w:val="28"/>
          <w:szCs w:val="28"/>
        </w:rPr>
      </w:pPr>
      <w:r>
        <w:rPr>
          <w:rFonts w:hint="eastAsia"/>
          <w:sz w:val="28"/>
          <w:szCs w:val="28"/>
        </w:rPr>
        <w:t xml:space="preserve">2. 年度整体支出绩效目标  </w:t>
      </w:r>
    </w:p>
    <w:p w14:paraId="7271E639">
      <w:pPr>
        <w:rPr>
          <w:rFonts w:hint="eastAsia"/>
          <w:sz w:val="28"/>
          <w:szCs w:val="28"/>
        </w:rPr>
      </w:pPr>
      <w:r>
        <w:rPr>
          <w:rFonts w:hint="eastAsia"/>
          <w:sz w:val="28"/>
          <w:szCs w:val="28"/>
        </w:rPr>
        <w:t xml:space="preserve">  总预算金额</w:t>
      </w:r>
      <w:r>
        <w:rPr>
          <w:rFonts w:hint="eastAsia"/>
          <w:sz w:val="28"/>
          <w:szCs w:val="28"/>
          <w:lang w:eastAsia="zh-CN"/>
        </w:rPr>
        <w:t>：其中：</w:t>
      </w:r>
      <w:r>
        <w:rPr>
          <w:rFonts w:hint="eastAsia"/>
          <w:sz w:val="28"/>
          <w:szCs w:val="28"/>
        </w:rPr>
        <w:t>财政拨款</w:t>
      </w:r>
      <w:r>
        <w:rPr>
          <w:rFonts w:hint="eastAsia"/>
          <w:sz w:val="28"/>
          <w:szCs w:val="28"/>
          <w:lang w:val="en-US" w:eastAsia="zh-CN"/>
        </w:rPr>
        <w:t>448.02万元；</w:t>
      </w:r>
      <w:r>
        <w:rPr>
          <w:rFonts w:hint="eastAsia"/>
          <w:sz w:val="28"/>
          <w:szCs w:val="28"/>
        </w:rPr>
        <w:t>自有资金</w:t>
      </w:r>
      <w:r>
        <w:rPr>
          <w:rFonts w:hint="eastAsia"/>
          <w:sz w:val="28"/>
          <w:szCs w:val="28"/>
          <w:lang w:eastAsia="zh-CN"/>
        </w:rPr>
        <w:t>：</w:t>
      </w:r>
      <w:r>
        <w:rPr>
          <w:rFonts w:hint="eastAsia"/>
          <w:sz w:val="28"/>
          <w:szCs w:val="28"/>
          <w:lang w:val="en-US" w:eastAsia="zh-CN"/>
        </w:rPr>
        <w:t>343.32万元</w:t>
      </w:r>
      <w:r>
        <w:rPr>
          <w:rFonts w:hint="eastAsia"/>
          <w:sz w:val="28"/>
          <w:szCs w:val="28"/>
        </w:rPr>
        <w:t xml:space="preserve">。  </w:t>
      </w:r>
    </w:p>
    <w:p w14:paraId="3A639A99">
      <w:pPr>
        <w:rPr>
          <w:rFonts w:hint="eastAsia"/>
          <w:sz w:val="28"/>
          <w:szCs w:val="28"/>
        </w:rPr>
      </w:pPr>
      <w:r>
        <w:rPr>
          <w:rFonts w:hint="eastAsia"/>
          <w:sz w:val="28"/>
          <w:szCs w:val="28"/>
        </w:rPr>
        <w:t xml:space="preserve">   核心目标：提升诊疗人次、规范慢性病管理率≥8</w:t>
      </w:r>
      <w:r>
        <w:rPr>
          <w:rFonts w:hint="eastAsia"/>
          <w:sz w:val="28"/>
          <w:szCs w:val="28"/>
          <w:lang w:val="en-US" w:eastAsia="zh-CN"/>
        </w:rPr>
        <w:t>5</w:t>
      </w:r>
      <w:r>
        <w:rPr>
          <w:rFonts w:hint="eastAsia"/>
          <w:sz w:val="28"/>
          <w:szCs w:val="28"/>
        </w:rPr>
        <w:t>%、患者满意度≥85%、预算执行率≥9</w:t>
      </w:r>
      <w:r>
        <w:rPr>
          <w:rFonts w:hint="eastAsia"/>
          <w:sz w:val="28"/>
          <w:szCs w:val="28"/>
          <w:lang w:val="en-US" w:eastAsia="zh-CN"/>
        </w:rPr>
        <w:t>6</w:t>
      </w:r>
      <w:r>
        <w:rPr>
          <w:rFonts w:hint="eastAsia"/>
          <w:sz w:val="28"/>
          <w:szCs w:val="28"/>
        </w:rPr>
        <w:t xml:space="preserve">%等。  </w:t>
      </w:r>
    </w:p>
    <w:p w14:paraId="7E66231F">
      <w:pPr>
        <w:rPr>
          <w:rFonts w:hint="eastAsia"/>
          <w:sz w:val="28"/>
          <w:szCs w:val="28"/>
        </w:rPr>
      </w:pPr>
    </w:p>
    <w:p w14:paraId="1DBC0EFD">
      <w:pPr>
        <w:rPr>
          <w:rFonts w:hint="eastAsia"/>
          <w:sz w:val="28"/>
          <w:szCs w:val="28"/>
        </w:rPr>
      </w:pPr>
      <w:r>
        <w:rPr>
          <w:rFonts w:hint="eastAsia"/>
          <w:sz w:val="28"/>
          <w:szCs w:val="28"/>
        </w:rPr>
        <w:t xml:space="preserve">二、一般公共预算支出情况  </w:t>
      </w:r>
    </w:p>
    <w:p w14:paraId="7DD1B795">
      <w:pPr>
        <w:rPr>
          <w:rFonts w:hint="eastAsia"/>
          <w:sz w:val="28"/>
          <w:szCs w:val="28"/>
        </w:rPr>
      </w:pPr>
      <w:r>
        <w:rPr>
          <w:rFonts w:hint="eastAsia"/>
          <w:sz w:val="28"/>
          <w:szCs w:val="28"/>
        </w:rPr>
        <w:t xml:space="preserve">1. 基本支出情况  </w:t>
      </w:r>
    </w:p>
    <w:p w14:paraId="07A4C599">
      <w:pPr>
        <w:rPr>
          <w:rFonts w:hint="eastAsia"/>
          <w:sz w:val="28"/>
          <w:szCs w:val="28"/>
        </w:rPr>
      </w:pPr>
      <w:r>
        <w:rPr>
          <w:rFonts w:hint="eastAsia"/>
          <w:sz w:val="28"/>
          <w:szCs w:val="28"/>
        </w:rPr>
        <w:t xml:space="preserve">   人员经费：</w:t>
      </w:r>
      <w:r>
        <w:rPr>
          <w:rFonts w:hint="eastAsia"/>
          <w:sz w:val="28"/>
          <w:szCs w:val="28"/>
          <w:lang w:eastAsia="zh-CN"/>
        </w:rPr>
        <w:t>其中：</w:t>
      </w:r>
      <w:r>
        <w:rPr>
          <w:rFonts w:hint="eastAsia"/>
          <w:sz w:val="28"/>
          <w:szCs w:val="28"/>
        </w:rPr>
        <w:t>工资、社保、公积金等</w:t>
      </w:r>
      <w:r>
        <w:rPr>
          <w:rFonts w:hint="eastAsia"/>
          <w:sz w:val="28"/>
          <w:szCs w:val="28"/>
          <w:lang w:eastAsia="zh-CN"/>
        </w:rPr>
        <w:t>支出金额：</w:t>
      </w:r>
      <w:r>
        <w:rPr>
          <w:rFonts w:hint="eastAsia"/>
          <w:sz w:val="28"/>
          <w:szCs w:val="28"/>
          <w:lang w:val="en-US" w:eastAsia="zh-CN"/>
        </w:rPr>
        <w:t>316万元</w:t>
      </w:r>
      <w:r>
        <w:rPr>
          <w:rFonts w:hint="eastAsia"/>
          <w:sz w:val="28"/>
          <w:szCs w:val="28"/>
        </w:rPr>
        <w:t>（占比</w:t>
      </w:r>
      <w:r>
        <w:rPr>
          <w:rFonts w:hint="eastAsia"/>
          <w:sz w:val="28"/>
          <w:szCs w:val="28"/>
          <w:lang w:val="en-US" w:eastAsia="zh-CN"/>
        </w:rPr>
        <w:t>52.8</w:t>
      </w:r>
      <w:r>
        <w:rPr>
          <w:rFonts w:hint="eastAsia"/>
          <w:sz w:val="28"/>
          <w:szCs w:val="28"/>
        </w:rPr>
        <w:t xml:space="preserve">%）。  </w:t>
      </w:r>
    </w:p>
    <w:p w14:paraId="5DCD4E92">
      <w:pPr>
        <w:rPr>
          <w:rFonts w:hint="eastAsia"/>
          <w:sz w:val="28"/>
          <w:szCs w:val="28"/>
        </w:rPr>
      </w:pPr>
      <w:r>
        <w:rPr>
          <w:rFonts w:hint="eastAsia"/>
          <w:sz w:val="28"/>
          <w:szCs w:val="28"/>
        </w:rPr>
        <w:t xml:space="preserve">   公用经费：</w:t>
      </w:r>
      <w:r>
        <w:rPr>
          <w:rFonts w:hint="eastAsia"/>
          <w:sz w:val="28"/>
          <w:szCs w:val="28"/>
          <w:lang w:eastAsia="zh-CN"/>
        </w:rPr>
        <w:t>其他资金支出金额</w:t>
      </w:r>
      <w:r>
        <w:rPr>
          <w:rFonts w:hint="eastAsia"/>
          <w:sz w:val="28"/>
          <w:szCs w:val="28"/>
          <w:lang w:val="en-US" w:eastAsia="zh-CN"/>
        </w:rPr>
        <w:t>282.72万元</w:t>
      </w:r>
      <w:r>
        <w:rPr>
          <w:rFonts w:hint="eastAsia"/>
          <w:sz w:val="28"/>
          <w:szCs w:val="28"/>
        </w:rPr>
        <w:t>（占比</w:t>
      </w:r>
      <w:r>
        <w:rPr>
          <w:rFonts w:hint="eastAsia"/>
          <w:sz w:val="28"/>
          <w:szCs w:val="28"/>
          <w:lang w:val="en-US" w:eastAsia="zh-CN"/>
        </w:rPr>
        <w:t>47.2</w:t>
      </w:r>
      <w:r>
        <w:rPr>
          <w:rFonts w:hint="eastAsia"/>
          <w:sz w:val="28"/>
          <w:szCs w:val="28"/>
        </w:rPr>
        <w:t xml:space="preserve">%）。  </w:t>
      </w:r>
    </w:p>
    <w:p w14:paraId="01F14346">
      <w:pPr>
        <w:rPr>
          <w:rFonts w:hint="eastAsia"/>
          <w:sz w:val="28"/>
          <w:szCs w:val="28"/>
        </w:rPr>
      </w:pPr>
      <w:r>
        <w:rPr>
          <w:rFonts w:hint="eastAsia"/>
          <w:sz w:val="28"/>
          <w:szCs w:val="28"/>
        </w:rPr>
        <w:t xml:space="preserve">2. 项目支出情况  </w:t>
      </w:r>
    </w:p>
    <w:p w14:paraId="5709F481">
      <w:pPr>
        <w:rPr>
          <w:rFonts w:hint="eastAsia"/>
          <w:sz w:val="28"/>
          <w:szCs w:val="28"/>
        </w:rPr>
      </w:pPr>
      <w:r>
        <w:rPr>
          <w:rFonts w:hint="eastAsia"/>
          <w:sz w:val="28"/>
          <w:szCs w:val="28"/>
        </w:rPr>
        <w:t xml:space="preserve">   专项资金</w:t>
      </w:r>
      <w:r>
        <w:rPr>
          <w:rFonts w:hint="eastAsia"/>
          <w:sz w:val="28"/>
          <w:szCs w:val="28"/>
          <w:lang w:val="en-US" w:eastAsia="zh-CN"/>
        </w:rPr>
        <w:t>1</w:t>
      </w:r>
      <w:r>
        <w:rPr>
          <w:rFonts w:hint="eastAsia"/>
          <w:sz w:val="28"/>
          <w:szCs w:val="28"/>
          <w:lang w:eastAsia="zh-CN"/>
        </w:rPr>
        <w:t>：</w:t>
      </w:r>
      <w:r>
        <w:rPr>
          <w:rFonts w:hint="eastAsia"/>
          <w:sz w:val="28"/>
          <w:szCs w:val="28"/>
        </w:rPr>
        <w:t>基本公共卫生服务</w:t>
      </w:r>
      <w:r>
        <w:rPr>
          <w:rFonts w:hint="eastAsia"/>
          <w:sz w:val="28"/>
          <w:szCs w:val="28"/>
          <w:lang w:eastAsia="zh-CN"/>
        </w:rPr>
        <w:t>年度使用</w:t>
      </w:r>
      <w:r>
        <w:rPr>
          <w:rFonts w:hint="eastAsia"/>
          <w:sz w:val="28"/>
          <w:szCs w:val="28"/>
        </w:rPr>
        <w:t>资金</w:t>
      </w:r>
      <w:r>
        <w:rPr>
          <w:rFonts w:hint="eastAsia"/>
          <w:sz w:val="28"/>
          <w:szCs w:val="28"/>
          <w:lang w:val="en-US" w:eastAsia="zh-CN"/>
        </w:rPr>
        <w:t>:192.62万元</w:t>
      </w:r>
      <w:r>
        <w:rPr>
          <w:rFonts w:hint="eastAsia"/>
          <w:sz w:val="28"/>
          <w:szCs w:val="28"/>
        </w:rPr>
        <w:t xml:space="preserve"> </w:t>
      </w:r>
    </w:p>
    <w:p w14:paraId="1DEE1B03">
      <w:pPr>
        <w:rPr>
          <w:rFonts w:hint="eastAsia"/>
          <w:sz w:val="28"/>
          <w:szCs w:val="28"/>
        </w:rPr>
      </w:pPr>
      <w:r>
        <w:rPr>
          <w:rFonts w:hint="eastAsia"/>
          <w:sz w:val="28"/>
          <w:szCs w:val="28"/>
        </w:rPr>
        <w:t xml:space="preserve">    用途：居民健康档案、老年人健康管理、预防接种等；  </w:t>
      </w:r>
    </w:p>
    <w:p w14:paraId="43A9B578">
      <w:pPr>
        <w:ind w:firstLine="560"/>
        <w:rPr>
          <w:rFonts w:hint="eastAsia"/>
          <w:sz w:val="28"/>
          <w:szCs w:val="28"/>
        </w:rPr>
      </w:pPr>
      <w:r>
        <w:rPr>
          <w:rFonts w:hint="eastAsia"/>
          <w:sz w:val="28"/>
          <w:szCs w:val="28"/>
        </w:rPr>
        <w:t>执行进度：</w:t>
      </w:r>
      <w:r>
        <w:rPr>
          <w:rFonts w:hint="eastAsia"/>
          <w:sz w:val="28"/>
          <w:szCs w:val="28"/>
          <w:lang w:val="en-US" w:eastAsia="zh-CN"/>
        </w:rPr>
        <w:t>68</w:t>
      </w:r>
      <w:r>
        <w:rPr>
          <w:rFonts w:hint="eastAsia"/>
          <w:sz w:val="28"/>
          <w:szCs w:val="28"/>
        </w:rPr>
        <w:t>%（需与工作量挂钩，如完成建档率</w:t>
      </w:r>
      <w:r>
        <w:rPr>
          <w:rFonts w:hint="eastAsia"/>
          <w:sz w:val="28"/>
          <w:szCs w:val="28"/>
          <w:lang w:val="en-US" w:eastAsia="zh-CN"/>
        </w:rPr>
        <w:t>100</w:t>
      </w:r>
      <w:r>
        <w:rPr>
          <w:rFonts w:hint="eastAsia"/>
          <w:sz w:val="28"/>
          <w:szCs w:val="28"/>
        </w:rPr>
        <w:t xml:space="preserve">%）。  </w:t>
      </w:r>
    </w:p>
    <w:p w14:paraId="06FD2718">
      <w:pPr>
        <w:rPr>
          <w:rFonts w:hint="eastAsia"/>
          <w:sz w:val="28"/>
          <w:szCs w:val="28"/>
        </w:rPr>
      </w:pPr>
      <w:r>
        <w:rPr>
          <w:rFonts w:hint="eastAsia"/>
          <w:sz w:val="28"/>
          <w:szCs w:val="28"/>
        </w:rPr>
        <w:t xml:space="preserve"> 三、政府性基金预算支出情况 </w:t>
      </w:r>
      <w:r>
        <w:rPr>
          <w:rFonts w:hint="eastAsia"/>
          <w:sz w:val="28"/>
          <w:szCs w:val="28"/>
          <w:lang w:eastAsia="zh-CN"/>
        </w:rPr>
        <w:t>：</w:t>
      </w:r>
      <w:r>
        <w:rPr>
          <w:rFonts w:hint="eastAsia"/>
          <w:sz w:val="28"/>
          <w:szCs w:val="28"/>
        </w:rPr>
        <w:t>本单位无政府性基金预算支出</w:t>
      </w:r>
    </w:p>
    <w:p w14:paraId="71A8E860">
      <w:pPr>
        <w:ind w:firstLine="280" w:firstLineChars="100"/>
        <w:rPr>
          <w:rFonts w:hint="eastAsia"/>
          <w:sz w:val="28"/>
          <w:szCs w:val="28"/>
        </w:rPr>
      </w:pPr>
      <w:r>
        <w:rPr>
          <w:rFonts w:hint="eastAsia"/>
          <w:sz w:val="28"/>
          <w:szCs w:val="28"/>
          <w:lang w:eastAsia="zh-CN"/>
        </w:rPr>
        <w:t>四、</w:t>
      </w:r>
      <w:r>
        <w:rPr>
          <w:rFonts w:hint="eastAsia"/>
          <w:sz w:val="28"/>
          <w:szCs w:val="28"/>
        </w:rPr>
        <w:t>国有资本经营/社会保险基金预算支出情况</w:t>
      </w:r>
      <w:r>
        <w:rPr>
          <w:rFonts w:hint="eastAsia"/>
          <w:sz w:val="28"/>
          <w:szCs w:val="28"/>
          <w:lang w:eastAsia="zh-CN"/>
        </w:rPr>
        <w:t>：</w:t>
      </w:r>
      <w:r>
        <w:rPr>
          <w:rFonts w:hint="eastAsia"/>
          <w:sz w:val="28"/>
          <w:szCs w:val="28"/>
        </w:rPr>
        <w:t xml:space="preserve">不适用  </w:t>
      </w:r>
      <w:r>
        <w:rPr>
          <w:rFonts w:hint="eastAsia"/>
          <w:sz w:val="28"/>
          <w:szCs w:val="28"/>
          <w:lang w:eastAsia="zh-CN"/>
        </w:rPr>
        <w:t>（</w:t>
      </w:r>
      <w:r>
        <w:rPr>
          <w:rFonts w:hint="eastAsia"/>
          <w:sz w:val="28"/>
          <w:szCs w:val="28"/>
        </w:rPr>
        <w:t>基层卫生院通常不涉及</w:t>
      </w:r>
      <w:r>
        <w:rPr>
          <w:rFonts w:hint="eastAsia"/>
          <w:sz w:val="28"/>
          <w:szCs w:val="28"/>
          <w:lang w:eastAsia="zh-CN"/>
        </w:rPr>
        <w:t>）</w:t>
      </w:r>
      <w:r>
        <w:rPr>
          <w:rFonts w:hint="eastAsia"/>
          <w:sz w:val="28"/>
          <w:szCs w:val="28"/>
        </w:rPr>
        <w:t xml:space="preserve">  </w:t>
      </w:r>
    </w:p>
    <w:p w14:paraId="0F114A71">
      <w:pPr>
        <w:rPr>
          <w:rFonts w:hint="eastAsia"/>
          <w:sz w:val="28"/>
          <w:szCs w:val="28"/>
        </w:rPr>
      </w:pPr>
      <w:r>
        <w:rPr>
          <w:rFonts w:hint="eastAsia"/>
          <w:sz w:val="28"/>
          <w:szCs w:val="28"/>
          <w:lang w:eastAsia="zh-CN"/>
        </w:rPr>
        <w:t>五</w:t>
      </w:r>
      <w:r>
        <w:rPr>
          <w:rFonts w:hint="eastAsia"/>
          <w:sz w:val="28"/>
          <w:szCs w:val="28"/>
        </w:rPr>
        <w:t xml:space="preserve">、部门整体支出绩效情况   </w:t>
      </w:r>
    </w:p>
    <w:p w14:paraId="589B111A">
      <w:pPr>
        <w:rPr>
          <w:rFonts w:hint="eastAsia"/>
          <w:sz w:val="28"/>
          <w:szCs w:val="28"/>
        </w:rPr>
      </w:pPr>
      <w:r>
        <w:rPr>
          <w:rFonts w:hint="eastAsia"/>
          <w:sz w:val="28"/>
          <w:szCs w:val="28"/>
        </w:rPr>
        <w:t>1. 运行成本：人均诊疗成本同比下降</w:t>
      </w:r>
      <w:r>
        <w:rPr>
          <w:rFonts w:hint="eastAsia"/>
          <w:sz w:val="28"/>
          <w:szCs w:val="28"/>
          <w:lang w:val="en-US" w:eastAsia="zh-CN"/>
        </w:rPr>
        <w:t>1.2</w:t>
      </w:r>
      <w:r>
        <w:rPr>
          <w:rFonts w:hint="eastAsia"/>
          <w:sz w:val="28"/>
          <w:szCs w:val="28"/>
        </w:rPr>
        <w:t>%，药占比控制在</w:t>
      </w:r>
      <w:r>
        <w:rPr>
          <w:rFonts w:hint="eastAsia"/>
          <w:sz w:val="28"/>
          <w:szCs w:val="28"/>
          <w:lang w:val="en-US" w:eastAsia="zh-CN"/>
        </w:rPr>
        <w:t>50</w:t>
      </w:r>
      <w:r>
        <w:rPr>
          <w:rFonts w:hint="eastAsia"/>
          <w:sz w:val="28"/>
          <w:szCs w:val="28"/>
        </w:rPr>
        <w:t xml:space="preserve">%。  </w:t>
      </w:r>
    </w:p>
    <w:p w14:paraId="628044A9">
      <w:pPr>
        <w:rPr>
          <w:rFonts w:hint="eastAsia"/>
          <w:sz w:val="28"/>
          <w:szCs w:val="28"/>
        </w:rPr>
      </w:pPr>
      <w:r>
        <w:rPr>
          <w:rFonts w:hint="eastAsia"/>
          <w:sz w:val="28"/>
          <w:szCs w:val="28"/>
        </w:rPr>
        <w:t>2. 管理效率：医保资金使用合规率100%，预算执行率</w:t>
      </w:r>
      <w:r>
        <w:rPr>
          <w:rFonts w:hint="eastAsia"/>
          <w:sz w:val="28"/>
          <w:szCs w:val="28"/>
          <w:lang w:val="en-US" w:eastAsia="zh-CN"/>
        </w:rPr>
        <w:t>100</w:t>
      </w:r>
      <w:r>
        <w:rPr>
          <w:rFonts w:hint="eastAsia"/>
          <w:sz w:val="28"/>
          <w:szCs w:val="28"/>
        </w:rPr>
        <w:t xml:space="preserve">%。  </w:t>
      </w:r>
    </w:p>
    <w:p w14:paraId="7C6F6F0C">
      <w:pPr>
        <w:rPr>
          <w:rFonts w:hint="eastAsia"/>
          <w:sz w:val="28"/>
          <w:szCs w:val="28"/>
        </w:rPr>
      </w:pPr>
      <w:r>
        <w:rPr>
          <w:rFonts w:hint="eastAsia"/>
          <w:sz w:val="28"/>
          <w:szCs w:val="28"/>
        </w:rPr>
        <w:t xml:space="preserve">3. 履职效能：  </w:t>
      </w:r>
    </w:p>
    <w:p w14:paraId="33EE8618">
      <w:pPr>
        <w:rPr>
          <w:rFonts w:hint="eastAsia"/>
          <w:sz w:val="28"/>
          <w:szCs w:val="28"/>
        </w:rPr>
      </w:pPr>
      <w:r>
        <w:rPr>
          <w:rFonts w:hint="eastAsia"/>
          <w:sz w:val="28"/>
          <w:szCs w:val="28"/>
        </w:rPr>
        <w:t xml:space="preserve">   医疗服务质量：门诊人次同比增长</w:t>
      </w:r>
      <w:r>
        <w:rPr>
          <w:rFonts w:hint="eastAsia"/>
          <w:sz w:val="28"/>
          <w:szCs w:val="28"/>
          <w:lang w:val="en-US" w:eastAsia="zh-CN"/>
        </w:rPr>
        <w:t>10</w:t>
      </w:r>
      <w:r>
        <w:rPr>
          <w:rFonts w:hint="eastAsia"/>
          <w:sz w:val="28"/>
          <w:szCs w:val="28"/>
        </w:rPr>
        <w:t xml:space="preserve">%，抗生素使用合格率≥90%；  </w:t>
      </w:r>
    </w:p>
    <w:p w14:paraId="00943956">
      <w:pPr>
        <w:rPr>
          <w:rFonts w:hint="eastAsia"/>
          <w:sz w:val="28"/>
          <w:szCs w:val="28"/>
        </w:rPr>
      </w:pPr>
      <w:r>
        <w:rPr>
          <w:rFonts w:hint="eastAsia"/>
          <w:sz w:val="28"/>
          <w:szCs w:val="28"/>
        </w:rPr>
        <w:t xml:space="preserve">   公卫服务：高血压规范管理率85%，超目标5个百分点。  </w:t>
      </w:r>
    </w:p>
    <w:p w14:paraId="322C0976">
      <w:pPr>
        <w:rPr>
          <w:rFonts w:hint="eastAsia"/>
          <w:sz w:val="28"/>
          <w:szCs w:val="28"/>
        </w:rPr>
      </w:pPr>
      <w:r>
        <w:rPr>
          <w:rFonts w:hint="eastAsia"/>
          <w:sz w:val="28"/>
          <w:szCs w:val="28"/>
        </w:rPr>
        <w:t>4. 社会效应：辖区居民健康知识知晓率提升至</w:t>
      </w:r>
      <w:r>
        <w:rPr>
          <w:rFonts w:hint="eastAsia"/>
          <w:sz w:val="28"/>
          <w:szCs w:val="28"/>
          <w:lang w:val="en-US" w:eastAsia="zh-CN"/>
        </w:rPr>
        <w:t>90</w:t>
      </w:r>
      <w:r>
        <w:rPr>
          <w:rFonts w:hint="eastAsia"/>
          <w:sz w:val="28"/>
          <w:szCs w:val="28"/>
        </w:rPr>
        <w:t xml:space="preserve">%。  </w:t>
      </w:r>
    </w:p>
    <w:p w14:paraId="05D2EBAB">
      <w:pPr>
        <w:rPr>
          <w:rFonts w:hint="eastAsia"/>
          <w:sz w:val="28"/>
          <w:szCs w:val="28"/>
        </w:rPr>
      </w:pPr>
      <w:r>
        <w:rPr>
          <w:rFonts w:hint="eastAsia"/>
          <w:sz w:val="28"/>
          <w:szCs w:val="28"/>
        </w:rPr>
        <w:t>5. 满意度：患者满意度调查得分</w:t>
      </w:r>
      <w:r>
        <w:rPr>
          <w:rFonts w:hint="eastAsia"/>
          <w:sz w:val="28"/>
          <w:szCs w:val="28"/>
          <w:lang w:val="en-US" w:eastAsia="zh-CN"/>
        </w:rPr>
        <w:t>86</w:t>
      </w:r>
      <w:r>
        <w:rPr>
          <w:rFonts w:hint="eastAsia"/>
          <w:sz w:val="28"/>
          <w:szCs w:val="28"/>
        </w:rPr>
        <w:t xml:space="preserve">分。  </w:t>
      </w:r>
    </w:p>
    <w:p w14:paraId="751F7FD3">
      <w:pPr>
        <w:rPr>
          <w:rFonts w:hint="eastAsia"/>
          <w:sz w:val="28"/>
          <w:szCs w:val="28"/>
        </w:rPr>
      </w:pPr>
    </w:p>
    <w:p w14:paraId="2090F758">
      <w:pPr>
        <w:rPr>
          <w:rFonts w:hint="eastAsia"/>
          <w:sz w:val="28"/>
          <w:szCs w:val="28"/>
        </w:rPr>
      </w:pPr>
      <w:r>
        <w:rPr>
          <w:rFonts w:hint="eastAsia"/>
          <w:sz w:val="28"/>
          <w:szCs w:val="28"/>
          <w:lang w:eastAsia="zh-CN"/>
        </w:rPr>
        <w:t>六</w:t>
      </w:r>
      <w:r>
        <w:rPr>
          <w:rFonts w:hint="eastAsia"/>
          <w:sz w:val="28"/>
          <w:szCs w:val="28"/>
        </w:rPr>
        <w:t xml:space="preserve">、存在的问题及原因分析  </w:t>
      </w:r>
    </w:p>
    <w:p w14:paraId="20C988DE">
      <w:pPr>
        <w:rPr>
          <w:rFonts w:hint="eastAsia"/>
          <w:sz w:val="28"/>
          <w:szCs w:val="28"/>
        </w:rPr>
      </w:pPr>
      <w:r>
        <w:rPr>
          <w:rFonts w:hint="eastAsia"/>
          <w:sz w:val="28"/>
          <w:szCs w:val="28"/>
          <w:lang w:val="en-US" w:eastAsia="zh-CN"/>
        </w:rPr>
        <w:t>1</w:t>
      </w:r>
      <w:r>
        <w:rPr>
          <w:rFonts w:hint="eastAsia"/>
          <w:sz w:val="28"/>
          <w:szCs w:val="28"/>
        </w:rPr>
        <w:t xml:space="preserve">. 绩效目标未达标：  </w:t>
      </w:r>
    </w:p>
    <w:p w14:paraId="6E5184B3">
      <w:pPr>
        <w:rPr>
          <w:rFonts w:hint="eastAsia"/>
          <w:sz w:val="28"/>
          <w:szCs w:val="28"/>
        </w:rPr>
      </w:pPr>
      <w:r>
        <w:rPr>
          <w:rFonts w:hint="eastAsia"/>
          <w:sz w:val="28"/>
          <w:szCs w:val="28"/>
        </w:rPr>
        <w:t xml:space="preserve">   问题：糖尿病随访率仅7</w:t>
      </w:r>
      <w:r>
        <w:rPr>
          <w:rFonts w:hint="eastAsia"/>
          <w:sz w:val="28"/>
          <w:szCs w:val="28"/>
          <w:lang w:val="en-US" w:eastAsia="zh-CN"/>
        </w:rPr>
        <w:t>5</w:t>
      </w:r>
      <w:r>
        <w:rPr>
          <w:rFonts w:hint="eastAsia"/>
          <w:sz w:val="28"/>
          <w:szCs w:val="28"/>
        </w:rPr>
        <w:t xml:space="preserve">%（目标80%）；  </w:t>
      </w:r>
    </w:p>
    <w:p w14:paraId="31F2CDBF">
      <w:pPr>
        <w:rPr>
          <w:rFonts w:hint="eastAsia"/>
          <w:sz w:val="28"/>
          <w:szCs w:val="28"/>
        </w:rPr>
      </w:pPr>
      <w:r>
        <w:rPr>
          <w:rFonts w:hint="eastAsia"/>
          <w:sz w:val="28"/>
          <w:szCs w:val="28"/>
        </w:rPr>
        <w:t xml:space="preserve">   原因：居民</w:t>
      </w:r>
      <w:r>
        <w:rPr>
          <w:rFonts w:hint="eastAsia"/>
          <w:sz w:val="28"/>
          <w:szCs w:val="28"/>
          <w:lang w:eastAsia="zh-CN"/>
        </w:rPr>
        <w:t>不</w:t>
      </w:r>
      <w:r>
        <w:rPr>
          <w:rFonts w:hint="eastAsia"/>
          <w:sz w:val="28"/>
          <w:szCs w:val="28"/>
        </w:rPr>
        <w:t>配合</w:t>
      </w:r>
      <w:r>
        <w:rPr>
          <w:rFonts w:hint="eastAsia"/>
          <w:sz w:val="28"/>
          <w:szCs w:val="28"/>
          <w:lang w:eastAsia="zh-CN"/>
        </w:rPr>
        <w:t>且长期在外务工，</w:t>
      </w:r>
      <w:r>
        <w:rPr>
          <w:rFonts w:hint="eastAsia"/>
          <w:sz w:val="28"/>
          <w:szCs w:val="28"/>
        </w:rPr>
        <w:t xml:space="preserve">随访人员不足。 </w:t>
      </w:r>
    </w:p>
    <w:p w14:paraId="36F06F83">
      <w:pPr>
        <w:rPr>
          <w:rFonts w:hint="eastAsia"/>
          <w:sz w:val="28"/>
          <w:szCs w:val="28"/>
        </w:rPr>
      </w:pPr>
      <w:r>
        <w:rPr>
          <w:rFonts w:hint="eastAsia"/>
          <w:sz w:val="28"/>
          <w:szCs w:val="28"/>
        </w:rPr>
        <w:t>2. 其他问题</w:t>
      </w:r>
      <w:r>
        <w:rPr>
          <w:rFonts w:hint="eastAsia"/>
          <w:sz w:val="28"/>
          <w:szCs w:val="28"/>
          <w:lang w:eastAsia="zh-CN"/>
        </w:rPr>
        <w:t>：</w:t>
      </w:r>
      <w:r>
        <w:rPr>
          <w:rFonts w:hint="eastAsia"/>
          <w:sz w:val="28"/>
          <w:szCs w:val="28"/>
        </w:rPr>
        <w:t>如医疗设备老化</w:t>
      </w:r>
      <w:r>
        <w:rPr>
          <w:rFonts w:hint="eastAsia"/>
          <w:sz w:val="28"/>
          <w:szCs w:val="28"/>
          <w:lang w:eastAsia="zh-CN"/>
        </w:rPr>
        <w:t>且灵敏度不高</w:t>
      </w:r>
      <w:r>
        <w:rPr>
          <w:rFonts w:hint="eastAsia"/>
          <w:sz w:val="28"/>
          <w:szCs w:val="28"/>
        </w:rPr>
        <w:t xml:space="preserve">、信息化水平不足等。   </w:t>
      </w:r>
    </w:p>
    <w:p w14:paraId="285257F5">
      <w:pPr>
        <w:rPr>
          <w:rFonts w:hint="eastAsia"/>
          <w:sz w:val="28"/>
          <w:szCs w:val="28"/>
        </w:rPr>
      </w:pPr>
      <w:r>
        <w:rPr>
          <w:rFonts w:hint="eastAsia"/>
          <w:sz w:val="28"/>
          <w:szCs w:val="28"/>
          <w:lang w:eastAsia="zh-CN"/>
        </w:rPr>
        <w:t>七</w:t>
      </w:r>
      <w:r>
        <w:rPr>
          <w:rFonts w:hint="eastAsia"/>
          <w:sz w:val="28"/>
          <w:szCs w:val="28"/>
        </w:rPr>
        <w:t xml:space="preserve">、下一步改进措施    </w:t>
      </w:r>
    </w:p>
    <w:p w14:paraId="031DCBDB">
      <w:pPr>
        <w:rPr>
          <w:rFonts w:hint="eastAsia"/>
          <w:sz w:val="28"/>
          <w:szCs w:val="28"/>
        </w:rPr>
      </w:pPr>
      <w:r>
        <w:rPr>
          <w:rFonts w:hint="eastAsia"/>
          <w:sz w:val="28"/>
          <w:szCs w:val="28"/>
          <w:lang w:val="en-US" w:eastAsia="zh-CN"/>
        </w:rPr>
        <w:t>1</w:t>
      </w:r>
      <w:r>
        <w:rPr>
          <w:rFonts w:hint="eastAsia"/>
          <w:sz w:val="28"/>
          <w:szCs w:val="28"/>
        </w:rPr>
        <w:t>. 提升服务效能：增加慢性病随访团队培训，开展健康</w:t>
      </w:r>
      <w:r>
        <w:rPr>
          <w:rFonts w:hint="eastAsia"/>
          <w:sz w:val="28"/>
          <w:szCs w:val="28"/>
          <w:lang w:eastAsia="zh-CN"/>
        </w:rPr>
        <w:t>知识</w:t>
      </w:r>
      <w:r>
        <w:rPr>
          <w:rFonts w:hint="eastAsia"/>
          <w:sz w:val="28"/>
          <w:szCs w:val="28"/>
        </w:rPr>
        <w:t>讲座。</w:t>
      </w:r>
    </w:p>
    <w:p w14:paraId="732CD0AD">
      <w:pPr>
        <w:rPr>
          <w:rFonts w:hint="eastAsia"/>
          <w:sz w:val="28"/>
          <w:szCs w:val="28"/>
        </w:rPr>
      </w:pPr>
      <w:r>
        <w:rPr>
          <w:rFonts w:hint="eastAsia"/>
          <w:sz w:val="28"/>
          <w:szCs w:val="28"/>
        </w:rPr>
        <w:t>2. 申请更新医疗</w:t>
      </w:r>
      <w:r>
        <w:rPr>
          <w:rFonts w:hint="eastAsia"/>
          <w:sz w:val="28"/>
          <w:szCs w:val="28"/>
          <w:lang w:eastAsia="zh-CN"/>
        </w:rPr>
        <w:t>设施</w:t>
      </w:r>
      <w:r>
        <w:rPr>
          <w:rFonts w:hint="eastAsia"/>
          <w:sz w:val="28"/>
          <w:szCs w:val="28"/>
        </w:rPr>
        <w:t xml:space="preserve">设备，优化服务流程。  </w:t>
      </w:r>
    </w:p>
    <w:p w14:paraId="613B1BFE">
      <w:pPr>
        <w:rPr>
          <w:rFonts w:hint="eastAsia"/>
          <w:sz w:val="28"/>
          <w:szCs w:val="28"/>
        </w:rPr>
      </w:pPr>
      <w:r>
        <w:rPr>
          <w:rFonts w:hint="eastAsia"/>
          <w:sz w:val="28"/>
          <w:szCs w:val="28"/>
        </w:rPr>
        <w:t>3. 完善绩效考核制度，</w:t>
      </w:r>
      <w:r>
        <w:rPr>
          <w:rFonts w:hint="eastAsia"/>
          <w:sz w:val="28"/>
          <w:szCs w:val="28"/>
          <w:lang w:eastAsia="zh-CN"/>
        </w:rPr>
        <w:t>调度</w:t>
      </w:r>
      <w:r>
        <w:rPr>
          <w:rFonts w:hint="eastAsia"/>
          <w:sz w:val="28"/>
          <w:szCs w:val="28"/>
        </w:rPr>
        <w:t xml:space="preserve">职工积极性。  </w:t>
      </w:r>
    </w:p>
    <w:p w14:paraId="1B535C04">
      <w:pPr>
        <w:rPr>
          <w:rFonts w:hint="eastAsia"/>
          <w:sz w:val="28"/>
          <w:szCs w:val="28"/>
        </w:rPr>
      </w:pPr>
      <w:r>
        <w:rPr>
          <w:rFonts w:hint="eastAsia"/>
          <w:sz w:val="28"/>
          <w:szCs w:val="28"/>
          <w:lang w:eastAsia="zh-CN"/>
        </w:rPr>
        <w:t>八</w:t>
      </w:r>
      <w:r>
        <w:rPr>
          <w:rFonts w:hint="eastAsia"/>
          <w:sz w:val="28"/>
          <w:szCs w:val="28"/>
        </w:rPr>
        <w:t xml:space="preserve">、绩效自评结果拟应用和公开情况  </w:t>
      </w:r>
    </w:p>
    <w:p w14:paraId="38460685">
      <w:pPr>
        <w:rPr>
          <w:rFonts w:hint="eastAsia"/>
          <w:sz w:val="28"/>
          <w:szCs w:val="28"/>
        </w:rPr>
      </w:pPr>
      <w:r>
        <w:rPr>
          <w:rFonts w:hint="eastAsia"/>
          <w:sz w:val="28"/>
          <w:szCs w:val="28"/>
        </w:rPr>
        <w:t>自评得分：</w:t>
      </w:r>
      <w:r>
        <w:rPr>
          <w:rFonts w:hint="eastAsia"/>
          <w:sz w:val="28"/>
          <w:szCs w:val="28"/>
          <w:lang w:val="en-US" w:eastAsia="zh-CN"/>
        </w:rPr>
        <w:t>98.9分</w:t>
      </w:r>
      <w:r>
        <w:rPr>
          <w:rFonts w:hint="eastAsia"/>
          <w:sz w:val="28"/>
          <w:szCs w:val="28"/>
        </w:rPr>
        <w:t xml:space="preserve">等级：优秀。  </w:t>
      </w:r>
    </w:p>
    <w:p w14:paraId="5FA2055F">
      <w:pPr>
        <w:rPr>
          <w:sz w:val="24"/>
          <w:szCs w:val="32"/>
        </w:rPr>
      </w:pPr>
      <w:r>
        <w:rPr>
          <w:rFonts w:hint="eastAsia"/>
          <w:sz w:val="24"/>
          <w:szCs w:val="32"/>
        </w:rPr>
        <w:t xml:space="preserve"> </w:t>
      </w:r>
    </w:p>
    <w:p w14:paraId="4713FADE">
      <w:pPr>
        <w:pStyle w:val="13"/>
        <w:jc w:val="center"/>
        <w:rPr>
          <w:rFonts w:ascii="Times New Roman" w:hAnsi="Times New Roman" w:cs="Times New Roman"/>
          <w:sz w:val="72"/>
          <w:szCs w:val="72"/>
        </w:rPr>
      </w:pPr>
    </w:p>
    <w:p w14:paraId="62602CA0">
      <w:pPr>
        <w:pStyle w:val="13"/>
        <w:jc w:val="center"/>
        <w:rPr>
          <w:rFonts w:ascii="Times New Roman" w:hAnsi="Times New Roman" w:cs="Times New Roman"/>
          <w:sz w:val="72"/>
          <w:szCs w:val="72"/>
        </w:rPr>
      </w:pPr>
    </w:p>
    <w:p w14:paraId="5BB00776">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0D2B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2221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95FB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2C256627">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Nes4IZAgAANgQAAA4AAABkcnMvZTJvRG9jLnhtbK1TwY7TMBC9I/EP&#10;lu80bdGiKmq6Wm1VhFSxlRY+wHWcxsLxWB63afkA+ANOXLjzXf2OHTtJl1047IGLNR6P38x7fp5f&#10;HxvDDsqjBlvwyWjMmbISSm13Bf/8afVmxhkGYUthwKqCnxTy68XrV/PW5WoKNZhSeUYgFvPWFbwO&#10;weVZhrJWjcAROGXpsALfiEBbv8tKL1pCb0w2HY/fZS340nmQCpGyy+6Q94j+JYBQVVqqJch9o2zo&#10;UL0yIhAlrLVDvkjTVpWS4a6qUAVmCk5MQ1qpCcXbuGaLuch3Xrhay34E8ZIRnnFqhLbU9AK1FEGw&#10;vdd/QTVaekCowkhCk3VEkiLEYjJ+ps19LZxKXEhqdBfR8f/Byo+HjWe6LPjbK86saOjFzz++n3/+&#10;Pv/6xq6iPq3DnMru3cZHhujWIL8gs3BbC7tTN+hIZXJSrM2eFMcN9teOlW/idaLMjkn/00V/dQxM&#10;UnIym85mY3oaSWfDJqKKfLjuPIb3ChoWg4J7ap10F4c1hq50KIndLKy0MZQXubFPEoQZM2ngbsY4&#10;bThuj1Qdwy2UJ5LGQ+cZdHKlqedaYNgITyahOekbhTtaKgNtwaGPOKvBf/1XPtbT29EpZy2ZruCW&#10;/hhn5oOlN43+HAI/BNshsPvmFsjFE858MCmkC8JKgit44GzvvN7VadrIFN3NPhD9pMojoZ4y2Snp&#10;2ls/+vXPfap6/O6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l1uVLQAAAABQEAAA8AAAAAAAAA&#10;AQAgAAAAIgAAAGRycy9kb3ducmV2LnhtbFBLAQIUABQAAAAIAIdO4kBjXrOCGQIAADYEAAAOAAAA&#10;AAAAAAEAIAAAAB8BAABkcnMvZTJvRG9jLnhtbFBLBQYAAAAABgAGAFkBAACqBQAAAAA=&#10;">
              <v:fill on="f" focussize="0,0"/>
              <v:stroke on="f"/>
              <v:imagedata o:title=""/>
              <o:lock v:ext="edit" aspectratio="t"/>
              <v:textbox inset="0mm,0mm,0mm,0mm" style="mso-fit-shape-to-text:t;">
                <w:txbxContent>
                  <w:p w14:paraId="2C256627">
                    <w:pPr>
                      <w:pStyle w:val="5"/>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04F4E"/>
    <w:multiLevelType w:val="singleLevel"/>
    <w:tmpl w:val="31604F4E"/>
    <w:lvl w:ilvl="0" w:tentative="0">
      <w:start w:val="6"/>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042F0"/>
    <w:rsid w:val="06532AFD"/>
    <w:rsid w:val="06EB437A"/>
    <w:rsid w:val="08666B38"/>
    <w:rsid w:val="087772CB"/>
    <w:rsid w:val="09C9041E"/>
    <w:rsid w:val="103F42A5"/>
    <w:rsid w:val="10FF597C"/>
    <w:rsid w:val="187F0CC2"/>
    <w:rsid w:val="18B27B7C"/>
    <w:rsid w:val="1C575725"/>
    <w:rsid w:val="1C744CC5"/>
    <w:rsid w:val="1C7A7428"/>
    <w:rsid w:val="1CDC54BB"/>
    <w:rsid w:val="1FE4431E"/>
    <w:rsid w:val="218C346D"/>
    <w:rsid w:val="22535594"/>
    <w:rsid w:val="27C35A64"/>
    <w:rsid w:val="28140402"/>
    <w:rsid w:val="2DE83A00"/>
    <w:rsid w:val="312826BE"/>
    <w:rsid w:val="31E62E7C"/>
    <w:rsid w:val="33673B2F"/>
    <w:rsid w:val="34A87810"/>
    <w:rsid w:val="34D211AF"/>
    <w:rsid w:val="38E455CB"/>
    <w:rsid w:val="39EB5E69"/>
    <w:rsid w:val="3C4064E1"/>
    <w:rsid w:val="3C682425"/>
    <w:rsid w:val="3C81001B"/>
    <w:rsid w:val="3FD36AFA"/>
    <w:rsid w:val="464617D2"/>
    <w:rsid w:val="487429ED"/>
    <w:rsid w:val="4AB33EED"/>
    <w:rsid w:val="4AD95BAA"/>
    <w:rsid w:val="4E125616"/>
    <w:rsid w:val="519F6E67"/>
    <w:rsid w:val="56D10FD1"/>
    <w:rsid w:val="584861EF"/>
    <w:rsid w:val="5863005C"/>
    <w:rsid w:val="5B635E65"/>
    <w:rsid w:val="5C5E0261"/>
    <w:rsid w:val="6505067E"/>
    <w:rsid w:val="660C0A34"/>
    <w:rsid w:val="68234685"/>
    <w:rsid w:val="68B67D46"/>
    <w:rsid w:val="6F025F1B"/>
    <w:rsid w:val="728567C5"/>
    <w:rsid w:val="746D61C6"/>
    <w:rsid w:val="74D45B7F"/>
    <w:rsid w:val="78953FCD"/>
    <w:rsid w:val="790F14FF"/>
    <w:rsid w:val="7AF17CDD"/>
    <w:rsid w:val="7AFF38BF"/>
    <w:rsid w:val="7CE56D0E"/>
    <w:rsid w:val="7D6415AD"/>
    <w:rsid w:val="7DE777A6"/>
    <w:rsid w:val="7E5E2D4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4.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fc442f-a546-4934-ad63-50d9a88b49c3}">
  <ds:schemaRefs/>
</ds:datastoreItem>
</file>

<file path=customXml/itemProps3.xml><?xml version="1.0" encoding="utf-8"?>
<ds:datastoreItem xmlns:ds="http://schemas.openxmlformats.org/officeDocument/2006/customXml" ds:itemID="{2a087b20-635a-46be-a242-2cfbf80bce27}">
  <ds:schemaRefs/>
</ds:datastoreItem>
</file>

<file path=customXml/itemProps4.xml><?xml version="1.0" encoding="utf-8"?>
<ds:datastoreItem xmlns:ds="http://schemas.openxmlformats.org/officeDocument/2006/customXml" ds:itemID="{1bcfe28c-995b-43cb-94f9-cac49affd4e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831</Words>
  <Characters>844</Characters>
  <Lines>69</Lines>
  <Paragraphs>19</Paragraphs>
  <TotalTime>5</TotalTime>
  <ScaleCrop>false</ScaleCrop>
  <LinksUpToDate>false</LinksUpToDate>
  <CharactersWithSpaces>872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望星打卦</cp:lastModifiedBy>
  <cp:lastPrinted>2025-08-21T09:30:00Z</cp:lastPrinted>
  <dcterms:modified xsi:type="dcterms:W3CDTF">2025-12-04T03:31:08Z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432FF42CC09248CE95291BD9DE617DC9</vt:lpwstr>
  </property>
  <property fmtid="{D5CDD505-2E9C-101B-9397-08002B2CF9AE}" pid="4" name="KSOTemplateDocerSaveRecord">
    <vt:lpwstr>eyJoZGlkIjoiOWQxZTgzOWM1OTBjNWIyZjI1YjNkZTk5YjVkOGVmNDQiLCJ1c2VySWQiOiIxNTU4MTM2MzMwIn0=</vt:lpwstr>
  </property>
</Properties>
</file>