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1133690">
      <w:pPr>
        <w:pStyle w:val="style4099"/>
        <w:jc w:val="both"/>
        <w:rPr>
          <w:rFonts w:hAnsi="黑体"/>
          <w:sz w:val="36"/>
          <w:szCs w:val="36"/>
        </w:rPr>
      </w:pPr>
      <w:r>
        <w:rPr>
          <w:rFonts w:hAnsi="黑体" w:hint="eastAsia"/>
          <w:sz w:val="36"/>
          <w:szCs w:val="36"/>
        </w:rPr>
        <w:t>附件</w:t>
      </w:r>
      <w:r>
        <w:rPr>
          <w:rFonts w:hAnsi="黑体" w:hint="eastAsia"/>
          <w:sz w:val="36"/>
          <w:szCs w:val="36"/>
        </w:rPr>
        <w:t>1</w:t>
      </w:r>
    </w:p>
    <w:p w14:paraId="9EAAAA59">
      <w:pPr>
        <w:pStyle w:val="style4099"/>
        <w:jc w:val="center"/>
        <w:rPr>
          <w:rFonts w:ascii="Times New Roman" w:cs="Times New Roman" w:hAnsi="Times New Roman"/>
          <w:sz w:val="56"/>
          <w:szCs w:val="56"/>
        </w:rPr>
      </w:pPr>
    </w:p>
    <w:p w14:paraId="2E83F397">
      <w:pPr>
        <w:pStyle w:val="style4099"/>
        <w:jc w:val="center"/>
        <w:rPr>
          <w:rFonts w:ascii="Times New Roman" w:cs="Times New Roman" w:hAnsi="Times New Roman"/>
          <w:sz w:val="84"/>
          <w:szCs w:val="84"/>
        </w:rPr>
      </w:pPr>
    </w:p>
    <w:bookmarkStart w:id="0" w:name="_GoBack"/>
    <w:bookmarkEnd w:id="0"/>
    <w:p w14:paraId="B9E5465E">
      <w:pPr>
        <w:pStyle w:val="style4099"/>
        <w:jc w:val="center"/>
        <w:rPr>
          <w:rFonts w:ascii="Times New Roman" w:cs="Times New Roman" w:hAnsi="Times New Roman"/>
          <w:sz w:val="84"/>
          <w:szCs w:val="84"/>
        </w:rPr>
      </w:pPr>
    </w:p>
    <w:p w14:paraId="CC1096D3">
      <w:pPr>
        <w:pStyle w:val="style4099"/>
        <w:jc w:val="center"/>
        <w:rPr>
          <w:rFonts w:ascii="Times New Roman" w:cs="Times New Roman" w:eastAsia="方正小标宋简体" w:hAnsi="Times New Roman"/>
          <w:sz w:val="72"/>
          <w:szCs w:val="72"/>
        </w:rPr>
      </w:pPr>
      <w:r>
        <w:rPr>
          <w:rFonts w:ascii="Times New Roman" w:cs="Times New Roman" w:eastAsia="方正小标宋简体" w:hAnsi="Times New Roman"/>
          <w:sz w:val="72"/>
          <w:szCs w:val="72"/>
        </w:rPr>
        <w:t>2024</w:t>
      </w:r>
      <w:r>
        <w:rPr>
          <w:rFonts w:ascii="Times New Roman" w:cs="Times New Roman" w:eastAsia="方正小标宋简体" w:hAnsi="Times New Roman"/>
          <w:sz w:val="72"/>
          <w:szCs w:val="72"/>
        </w:rPr>
        <w:t>年度</w:t>
      </w:r>
    </w:p>
    <w:p w14:paraId="22571C7F">
      <w:pPr>
        <w:pStyle w:val="style4099"/>
        <w:jc w:val="center"/>
        <w:rPr>
          <w:rFonts w:ascii="Times New Roman" w:cs="Times New Roman" w:eastAsia="方正小标宋简体" w:hAnsi="Times New Roman"/>
          <w:sz w:val="72"/>
          <w:szCs w:val="72"/>
        </w:rPr>
      </w:pPr>
      <w:r>
        <w:rPr>
          <w:rFonts w:ascii="Times New Roman" w:cs="Times New Roman" w:eastAsia="方正小标宋简体" w:hAnsi="Times New Roman"/>
          <w:sz w:val="72"/>
          <w:szCs w:val="72"/>
          <w:lang w:val="en-US"/>
        </w:rPr>
        <w:t xml:space="preserve"> </w:t>
      </w:r>
      <w:r>
        <w:rPr>
          <w:rFonts w:ascii="Times New Roman" w:cs="Times New Roman" w:hAnsi="Times New Roman"/>
          <w:sz w:val="72"/>
          <w:szCs w:val="72"/>
          <w:lang w:val="en-US"/>
        </w:rPr>
        <w:t>蓝山县毛俊中心幼儿园</w:t>
      </w:r>
      <w:r>
        <w:rPr>
          <w:rFonts w:ascii="Times New Roman" w:cs="Times New Roman" w:eastAsia="方正小标宋简体" w:hAnsi="Times New Roman"/>
          <w:sz w:val="72"/>
          <w:szCs w:val="72"/>
        </w:rPr>
        <w:t>部门决算</w:t>
      </w:r>
    </w:p>
    <w:p w14:paraId="A2FA7E01">
      <w:pPr>
        <w:pStyle w:val="style4099"/>
        <w:jc w:val="center"/>
        <w:rPr>
          <w:rFonts w:ascii="Times New Roman" w:cs="Times New Roman" w:eastAsia="方正小标宋_GBK" w:hAnsi="Times New Roman"/>
          <w:sz w:val="56"/>
          <w:szCs w:val="56"/>
        </w:rPr>
      </w:pPr>
    </w:p>
    <w:p w14:paraId="37EFC856">
      <w:pPr>
        <w:pStyle w:val="style4099"/>
        <w:jc w:val="center"/>
        <w:rPr>
          <w:rFonts w:ascii="Times New Roman" w:cs="Times New Roman" w:hAnsi="Times New Roman"/>
          <w:sz w:val="56"/>
          <w:szCs w:val="56"/>
        </w:rPr>
      </w:pPr>
    </w:p>
    <w:p w14:paraId="C6C26007">
      <w:pPr>
        <w:pStyle w:val="style4099"/>
        <w:rPr>
          <w:rFonts w:ascii="Times New Roman" w:cs="Times New Roman" w:hAnsi="Times New Roman"/>
          <w:sz w:val="56"/>
          <w:szCs w:val="56"/>
        </w:rPr>
      </w:pPr>
    </w:p>
    <w:p w14:paraId="B410706C">
      <w:pPr>
        <w:pStyle w:val="style4099"/>
        <w:jc w:val="center"/>
        <w:rPr>
          <w:rFonts w:ascii="Times New Roman" w:cs="Times New Roman" w:hAnsi="Times New Roman"/>
          <w:sz w:val="32"/>
          <w:szCs w:val="32"/>
        </w:rPr>
      </w:pPr>
    </w:p>
    <w:p w14:paraId="F22F60CE">
      <w:pPr>
        <w:pStyle w:val="style4099"/>
        <w:jc w:val="center"/>
        <w:rPr>
          <w:rFonts w:ascii="Times New Roman" w:cs="Times New Roman" w:hAnsi="Times New Roman"/>
          <w:sz w:val="32"/>
          <w:szCs w:val="32"/>
        </w:rPr>
      </w:pPr>
    </w:p>
    <w:p w14:paraId="D6604002">
      <w:pPr>
        <w:pStyle w:val="style4099"/>
        <w:jc w:val="center"/>
        <w:rPr>
          <w:rFonts w:ascii="Times New Roman" w:cs="Times New Roman" w:hAnsi="Times New Roman"/>
          <w:sz w:val="32"/>
          <w:szCs w:val="32"/>
        </w:rPr>
      </w:pPr>
    </w:p>
    <w:p w14:paraId="6E35CF63">
      <w:pPr>
        <w:pStyle w:val="style4099"/>
        <w:jc w:val="center"/>
        <w:rPr>
          <w:rFonts w:ascii="Times New Roman" w:cs="Times New Roman" w:hAnsi="Times New Roman"/>
          <w:sz w:val="32"/>
          <w:szCs w:val="32"/>
        </w:rPr>
      </w:pPr>
    </w:p>
    <w:p w14:paraId="FA3C2A43">
      <w:pPr>
        <w:pStyle w:val="style4099"/>
        <w:jc w:val="center"/>
        <w:rPr>
          <w:rFonts w:ascii="Times New Roman" w:cs="Times New Roman" w:hAnsi="Times New Roman"/>
          <w:sz w:val="32"/>
          <w:szCs w:val="32"/>
        </w:rPr>
      </w:pPr>
    </w:p>
    <w:p w14:paraId="6D8ACDA2">
      <w:pPr>
        <w:pStyle w:val="style4099"/>
        <w:jc w:val="center"/>
        <w:rPr>
          <w:rFonts w:ascii="Times New Roman" w:cs="Times New Roman" w:hAnsi="Times New Roman"/>
          <w:sz w:val="32"/>
          <w:szCs w:val="32"/>
        </w:rPr>
      </w:pPr>
    </w:p>
    <w:p w14:paraId="828F0398">
      <w:pPr>
        <w:pStyle w:val="style4099"/>
        <w:spacing w:lineRule="exact" w:line="540"/>
        <w:jc w:val="center"/>
        <w:rPr>
          <w:rFonts w:ascii="Times New Roman" w:cs="Times New Roman" w:hAnsi="Times New Roman"/>
          <w:sz w:val="56"/>
          <w:szCs w:val="56"/>
        </w:rPr>
      </w:pPr>
    </w:p>
    <w:p w14:paraId="011D851F">
      <w:pPr>
        <w:pStyle w:val="style0"/>
        <w:rPr>
          <w:rFonts w:ascii="Times New Roman" w:cs="Times New Roman" w:hAnsi="Times New Roman"/>
          <w:b/>
          <w:sz w:val="36"/>
          <w:szCs w:val="28"/>
        </w:rPr>
        <w:sectPr>
          <w:pgSz w:w="11906" w:h="16838" w:orient="portrait"/>
          <w:pgMar w:top="1417" w:right="1588" w:bottom="1417" w:left="1588" w:header="851" w:footer="992" w:gutter="0"/>
          <w:cols w:space="425"/>
          <w:docGrid w:type="lines" w:linePitch="312"/>
        </w:sectPr>
      </w:pPr>
    </w:p>
    <w:p w14:paraId="5B284119">
      <w:pPr>
        <w:pStyle w:val="style4099"/>
        <w:spacing w:lineRule="exact" w:line="600"/>
        <w:jc w:val="both"/>
        <w:rPr>
          <w:rFonts w:ascii="Times New Roman" w:cs="Times New Roman" w:hAnsi="Times New Roman"/>
          <w:b/>
          <w:sz w:val="36"/>
          <w:szCs w:val="28"/>
        </w:rPr>
        <w:sectPr>
          <w:footerReference w:type="default" r:id="rId2"/>
          <w:pgSz w:w="11906" w:h="16838" w:orient="portrait"/>
          <w:pgMar w:top="1417" w:right="1588" w:bottom="1417" w:left="1588" w:header="851" w:footer="992" w:gutter="0"/>
          <w:pgNumType w:start="1"/>
          <w:cols w:space="425"/>
          <w:docGrid w:type="lines" w:linePitch="312"/>
        </w:sectPr>
      </w:pPr>
    </w:p>
    <w:p w14:paraId="A0F746BC">
      <w:pPr>
        <w:pStyle w:val="style4099"/>
        <w:spacing w:lineRule="exact" w:line="600"/>
        <w:jc w:val="both"/>
        <w:rPr>
          <w:rFonts w:ascii="Times New Roman" w:cs="Times New Roman" w:hAnsi="Times New Roman"/>
          <w:b/>
          <w:sz w:val="36"/>
          <w:szCs w:val="28"/>
        </w:rPr>
      </w:pPr>
    </w:p>
    <w:p w14:paraId="42ECE7A4">
      <w:pPr>
        <w:pStyle w:val="style4099"/>
        <w:spacing w:lineRule="exact" w:line="600"/>
        <w:jc w:val="center"/>
        <w:rPr>
          <w:rFonts w:ascii="Times New Roman" w:cs="Times New Roman" w:hAnsi="Times New Roman"/>
          <w:bCs/>
          <w:sz w:val="36"/>
          <w:szCs w:val="28"/>
        </w:rPr>
      </w:pPr>
      <w:r>
        <w:rPr>
          <w:rFonts w:ascii="Times New Roman" w:cs="Times New Roman" w:hAnsi="Times New Roman"/>
          <w:bCs/>
          <w:sz w:val="36"/>
          <w:szCs w:val="28"/>
        </w:rPr>
        <w:t>目</w:t>
      </w:r>
      <w:r>
        <w:rPr>
          <w:rFonts w:ascii="Times New Roman" w:cs="Times New Roman" w:hAnsi="Times New Roman"/>
          <w:bCs/>
          <w:sz w:val="36"/>
          <w:szCs w:val="28"/>
        </w:rPr>
        <w:t xml:space="preserve">  </w:t>
      </w:r>
      <w:r>
        <w:rPr>
          <w:rFonts w:ascii="Times New Roman" w:cs="Times New Roman" w:hAnsi="Times New Roman"/>
          <w:bCs/>
          <w:sz w:val="36"/>
          <w:szCs w:val="28"/>
        </w:rPr>
        <w:t>录</w:t>
      </w:r>
    </w:p>
    <w:p w14:paraId="72DA048E">
      <w:pPr>
        <w:pStyle w:val="style4099"/>
        <w:spacing w:lineRule="exact" w:line="600"/>
        <w:jc w:val="center"/>
        <w:rPr>
          <w:rFonts w:ascii="Times New Roman" w:cs="Times New Roman" w:hAnsi="Times New Roman"/>
          <w:b/>
          <w:sz w:val="36"/>
          <w:szCs w:val="28"/>
        </w:rPr>
      </w:pPr>
    </w:p>
    <w:p w14:paraId="3C435848">
      <w:pPr>
        <w:pStyle w:val="style4099"/>
        <w:spacing w:after="156" w:afterLines="50" w:lineRule="exact" w:line="600"/>
        <w:rPr>
          <w:rFonts w:ascii="Times New Roman" w:cs="Times New Roman" w:hAnsi="Times New Roman"/>
          <w:bCs/>
          <w:sz w:val="32"/>
          <w:szCs w:val="32"/>
        </w:rPr>
      </w:pPr>
      <w:r>
        <w:rPr>
          <w:rFonts w:ascii="Times New Roman" w:cs="Times New Roman" w:hAnsi="Times New Roman"/>
          <w:bCs/>
          <w:sz w:val="32"/>
          <w:szCs w:val="32"/>
        </w:rPr>
        <w:t>第一部分</w:t>
      </w:r>
      <w:r>
        <w:rPr>
          <w:rFonts w:ascii="Times New Roman" w:cs="Times New Roman" w:hAnsi="Times New Roman"/>
          <w:bCs/>
          <w:sz w:val="32"/>
          <w:szCs w:val="32"/>
        </w:rPr>
        <w:t xml:space="preserve"> </w:t>
      </w:r>
      <w:r>
        <w:rPr>
          <w:rFonts w:ascii="Times New Roman" w:cs="Times New Roman" w:hAnsi="Times New Roman"/>
          <w:bCs/>
          <w:sz w:val="32"/>
          <w:szCs w:val="32"/>
          <w:lang w:val="en-US"/>
        </w:rPr>
        <w:t>蓝山县毛俊中心幼儿园部门</w:t>
      </w:r>
      <w:r>
        <w:rPr>
          <w:rFonts w:ascii="Times New Roman" w:cs="Times New Roman" w:hAnsi="Times New Roman"/>
          <w:bCs/>
          <w:sz w:val="32"/>
          <w:szCs w:val="32"/>
        </w:rPr>
        <w:t>概况</w:t>
      </w:r>
    </w:p>
    <w:p w14:paraId="20CE6B10">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一、部门职责</w:t>
      </w:r>
    </w:p>
    <w:p w14:paraId="573AE17B">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二、机构设置及决算单位构成</w:t>
      </w:r>
    </w:p>
    <w:p w14:paraId="5EE1995E">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第二部分</w:t>
      </w:r>
      <w:r>
        <w:rPr>
          <w:rFonts w:ascii="Times New Roman" w:cs="Times New Roman" w:hAnsi="Times New Roman"/>
          <w:bCs/>
          <w:sz w:val="32"/>
          <w:szCs w:val="32"/>
        </w:rPr>
        <w:t xml:space="preserve"> </w:t>
      </w:r>
      <w:r>
        <w:rPr>
          <w:rFonts w:ascii="Times New Roman" w:cs="Times New Roman" w:hAnsi="Times New Roman"/>
          <w:bCs/>
          <w:sz w:val="32"/>
          <w:szCs w:val="32"/>
        </w:rPr>
        <w:t>部门决算表</w:t>
      </w:r>
    </w:p>
    <w:p w14:paraId="D74252B1">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一、收入支出决算总表</w:t>
      </w:r>
    </w:p>
    <w:p w14:paraId="5FA1F1BA">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二、收入决算表</w:t>
      </w:r>
    </w:p>
    <w:p w14:paraId="5AE20F3D">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三、支出决算表</w:t>
      </w:r>
    </w:p>
    <w:p w14:paraId="4D9F7544">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四、财政拨款收入支出决算总表</w:t>
      </w:r>
    </w:p>
    <w:p w14:paraId="AECE20A0">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五、一般公共预算财政拨款支出决算表</w:t>
      </w:r>
    </w:p>
    <w:p w14:paraId="E623C480">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六、一般公共预算财政拨款基本支出决算明细表</w:t>
      </w:r>
    </w:p>
    <w:p w14:paraId="591A885F">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七、政府性基金预算财政拨款收入支出决算表</w:t>
      </w:r>
    </w:p>
    <w:p w14:paraId="E31ECE6B">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八、国有资本经营预算财政拨款支出决算表</w:t>
      </w:r>
    </w:p>
    <w:p w14:paraId="5F44BDED">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九、财政拨款</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三公</w:t>
      </w:r>
      <w:r>
        <w:rPr>
          <w:rFonts w:ascii="Times New Roman" w:cs="Times New Roman" w:eastAsia="仿宋_GB2312" w:hAnsi="Times New Roman"/>
          <w:sz w:val="32"/>
          <w:szCs w:val="32"/>
        </w:rPr>
        <w:t>”</w:t>
      </w:r>
      <w:r>
        <w:rPr>
          <w:rFonts w:ascii="Times New Roman" w:cs="Times New Roman" w:eastAsia="仿宋_GB2312" w:hAnsi="Times New Roman"/>
          <w:sz w:val="32"/>
          <w:szCs w:val="32"/>
        </w:rPr>
        <w:t>经费支出决算表</w:t>
      </w:r>
    </w:p>
    <w:p w14:paraId="09973877">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第三部分</w:t>
      </w:r>
      <w:r>
        <w:rPr>
          <w:rFonts w:ascii="Times New Roman" w:cs="Times New Roman" w:hAnsi="Times New Roman"/>
          <w:bCs/>
          <w:sz w:val="32"/>
          <w:szCs w:val="32"/>
        </w:rPr>
        <w:t xml:space="preserve"> </w:t>
      </w:r>
      <w:r>
        <w:rPr>
          <w:rFonts w:ascii="Times New Roman" w:cs="Times New Roman" w:hAnsi="Times New Roman"/>
          <w:bCs/>
          <w:sz w:val="32"/>
          <w:szCs w:val="32"/>
        </w:rPr>
        <w:t>部门决算情况说明</w:t>
      </w:r>
    </w:p>
    <w:p w14:paraId="90FB9C74">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一、收入支出决算总体情况说明</w:t>
      </w:r>
    </w:p>
    <w:p w14:paraId="02FC4738">
      <w:pPr>
        <w:pStyle w:val="style0"/>
        <w:spacing w:lineRule="exact" w:line="600"/>
        <w:jc w:val="left"/>
        <w:rPr>
          <w:rFonts w:ascii="Times New Roman" w:cs="Times New Roman" w:eastAsia="仿宋_GB2312" w:hAnsi="Times New Roman"/>
          <w:sz w:val="32"/>
          <w:szCs w:val="32"/>
        </w:rPr>
      </w:pPr>
      <w:r>
        <w:rPr>
          <w:rFonts w:ascii="Times New Roman" w:cs="Times New Roman" w:eastAsia="仿宋_GB2312" w:hAnsi="Times New Roman"/>
          <w:sz w:val="32"/>
          <w:szCs w:val="32"/>
        </w:rPr>
        <w:t>二、收入决算情况说明</w:t>
      </w:r>
    </w:p>
    <w:p w14:paraId="613335A4">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三、支出决算情况说明</w:t>
      </w:r>
    </w:p>
    <w:p w14:paraId="6275321C">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四、财政拨款收入支出决算总体情况说明</w:t>
      </w:r>
    </w:p>
    <w:p w14:paraId="32F1E130">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五、一般公共预算财政拨款支出决算情况说明</w:t>
      </w:r>
    </w:p>
    <w:p w14:paraId="BE5D628F">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sectPr>
          <w:footerReference w:type="default" r:id="rId3"/>
          <w:pgSz w:w="11906" w:h="16838" w:orient="portrait"/>
          <w:pgMar w:top="1417" w:right="1588" w:bottom="1417" w:left="1588" w:header="851" w:footer="992" w:gutter="0"/>
          <w:pgNumType w:start="1"/>
          <w:cols w:space="425"/>
          <w:docGrid w:type="lines" w:linePitch="312"/>
        </w:sectPr>
      </w:pPr>
    </w:p>
    <w:p w14:paraId="BCE393FA">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六、一般公共预算财政拨款基本支出决算情况说明</w:t>
      </w:r>
    </w:p>
    <w:p w14:paraId="55234A3F">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七、财政拨款</w:t>
      </w:r>
      <w:r>
        <w:rPr>
          <w:rFonts w:ascii="Times New Roman" w:cs="Times New Roman" w:eastAsia="仿宋_GB2312" w:hAnsi="Times New Roman"/>
          <w:color w:val="000000"/>
          <w:kern w:val="0"/>
          <w:sz w:val="32"/>
          <w:szCs w:val="32"/>
        </w:rPr>
        <w:t>“</w:t>
      </w:r>
      <w:r>
        <w:rPr>
          <w:rFonts w:ascii="Times New Roman" w:cs="Times New Roman" w:eastAsia="仿宋_GB2312" w:hAnsi="Times New Roman"/>
          <w:color w:val="000000"/>
          <w:kern w:val="0"/>
          <w:sz w:val="32"/>
          <w:szCs w:val="32"/>
        </w:rPr>
        <w:t>三公</w:t>
      </w:r>
      <w:r>
        <w:rPr>
          <w:rFonts w:ascii="Times New Roman" w:cs="Times New Roman" w:eastAsia="仿宋_GB2312" w:hAnsi="Times New Roman"/>
          <w:color w:val="000000"/>
          <w:kern w:val="0"/>
          <w:sz w:val="32"/>
          <w:szCs w:val="32"/>
        </w:rPr>
        <w:t>”</w:t>
      </w:r>
      <w:r>
        <w:rPr>
          <w:rFonts w:ascii="Times New Roman" w:cs="Times New Roman" w:eastAsia="仿宋_GB2312" w:hAnsi="Times New Roman"/>
          <w:color w:val="000000"/>
          <w:kern w:val="0"/>
          <w:sz w:val="32"/>
          <w:szCs w:val="32"/>
        </w:rPr>
        <w:t>经费支出决算情况说明</w:t>
      </w:r>
    </w:p>
    <w:p w14:paraId="CD0AFCE3">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八、政府性基金预算收入支出决算情况</w:t>
      </w:r>
    </w:p>
    <w:p w14:paraId="BEE972C0">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九、关于机关运行经费支出说明</w:t>
      </w:r>
    </w:p>
    <w:p w14:paraId="92CB75CE">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十、一般性支出情况说明</w:t>
      </w:r>
    </w:p>
    <w:p w14:paraId="DB7A80E2">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十一、关于政府采购支出说明</w:t>
      </w:r>
    </w:p>
    <w:p w14:paraId="7B7AB491">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十二、关于国有资产占用情况说明</w:t>
      </w:r>
    </w:p>
    <w:p w14:paraId="DB14AC2C">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十三、关于</w:t>
      </w: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年度预算绩效管理情况的说明</w:t>
      </w:r>
    </w:p>
    <w:p w14:paraId="3361D7D2">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第四部分</w:t>
      </w:r>
      <w:r>
        <w:rPr>
          <w:rFonts w:ascii="Times New Roman" w:cs="Times New Roman" w:hAnsi="Times New Roman"/>
          <w:bCs/>
          <w:sz w:val="32"/>
          <w:szCs w:val="32"/>
        </w:rPr>
        <w:t xml:space="preserve"> </w:t>
      </w:r>
      <w:r>
        <w:rPr>
          <w:rFonts w:ascii="Times New Roman" w:cs="Times New Roman" w:hAnsi="Times New Roman"/>
          <w:bCs/>
          <w:sz w:val="32"/>
          <w:szCs w:val="32"/>
        </w:rPr>
        <w:t>名词解释</w:t>
      </w:r>
    </w:p>
    <w:p w14:paraId="EFEC3988">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第五部分</w:t>
      </w:r>
      <w:r>
        <w:rPr>
          <w:rFonts w:ascii="Times New Roman" w:cs="Times New Roman" w:hAnsi="Times New Roman"/>
          <w:bCs/>
          <w:sz w:val="32"/>
          <w:szCs w:val="32"/>
        </w:rPr>
        <w:t xml:space="preserve"> </w:t>
      </w:r>
      <w:r>
        <w:rPr>
          <w:rFonts w:ascii="Times New Roman" w:cs="Times New Roman" w:hAnsi="Times New Roman"/>
          <w:bCs/>
          <w:sz w:val="32"/>
          <w:szCs w:val="32"/>
        </w:rPr>
        <w:t>附件</w:t>
      </w:r>
    </w:p>
    <w:p w14:paraId="D0C8DF04">
      <w:pPr>
        <w:pStyle w:val="style4099"/>
        <w:spacing w:lineRule="exact" w:line="600"/>
        <w:rPr>
          <w:rFonts w:ascii="Times New Roman" w:cs="Times New Roman" w:hAnsi="Times New Roman"/>
          <w:bCs/>
          <w:sz w:val="28"/>
          <w:szCs w:val="28"/>
        </w:rPr>
      </w:pPr>
    </w:p>
    <w:p w14:paraId="ECE3BB19">
      <w:pPr>
        <w:pStyle w:val="style0"/>
        <w:jc w:val="center"/>
        <w:rPr>
          <w:rFonts w:ascii="Times New Roman" w:cs="Times New Roman" w:hAnsi="Times New Roman"/>
          <w:sz w:val="72"/>
          <w:szCs w:val="72"/>
        </w:rPr>
      </w:pPr>
    </w:p>
    <w:p w14:paraId="32355626">
      <w:pPr>
        <w:pStyle w:val="style0"/>
        <w:jc w:val="center"/>
        <w:rPr>
          <w:rFonts w:ascii="Times New Roman" w:cs="Times New Roman" w:hAnsi="Times New Roman"/>
          <w:sz w:val="72"/>
          <w:szCs w:val="72"/>
        </w:rPr>
      </w:pPr>
    </w:p>
    <w:p w14:paraId="6AA567ED">
      <w:pPr>
        <w:pStyle w:val="style0"/>
        <w:jc w:val="center"/>
        <w:rPr>
          <w:rFonts w:ascii="Times New Roman" w:cs="Times New Roman" w:hAnsi="Times New Roman"/>
          <w:sz w:val="72"/>
          <w:szCs w:val="72"/>
        </w:rPr>
      </w:pPr>
    </w:p>
    <w:p w14:paraId="B62E899F">
      <w:pPr>
        <w:pStyle w:val="style29"/>
        <w:rPr>
          <w:rFonts w:ascii="Times New Roman" w:cs="Times New Roman" w:hAnsi="Times New Roman"/>
        </w:rPr>
        <w:sectPr>
          <w:footerReference w:type="default" r:id="rId4"/>
          <w:pgSz w:w="11906" w:h="16838" w:orient="portrait"/>
          <w:pgMar w:top="1417" w:right="1588" w:bottom="1417" w:left="1588" w:header="851" w:footer="992" w:gutter="0"/>
          <w:pgNumType w:start="1"/>
          <w:cols w:space="425"/>
          <w:docGrid w:type="lines" w:linePitch="312"/>
        </w:sectPr>
      </w:pPr>
    </w:p>
    <w:p w14:paraId="9047F3EE">
      <w:pPr>
        <w:pStyle w:val="style0"/>
        <w:rPr>
          <w:rFonts w:ascii="Times New Roman" w:cs="Times New Roman" w:eastAsia="方正小标宋_GBK" w:hAnsi="Times New Roman"/>
          <w:sz w:val="72"/>
          <w:szCs w:val="72"/>
        </w:rPr>
      </w:pPr>
    </w:p>
    <w:p w14:paraId="4D384C36">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第一部分</w:t>
      </w:r>
    </w:p>
    <w:p w14:paraId="C4D8DC71">
      <w:pPr>
        <w:pStyle w:val="style4099"/>
        <w:spacing w:lineRule="auto" w:line="360"/>
        <w:jc w:val="center"/>
        <w:rPr>
          <w:rFonts w:ascii="Times New Roman" w:cs="Times New Roman" w:eastAsia="方正小标宋_GBK" w:hAnsi="Times New Roman"/>
          <w:sz w:val="52"/>
          <w:szCs w:val="52"/>
        </w:rPr>
      </w:pPr>
      <w:r>
        <w:rPr>
          <w:rFonts w:ascii="Times New Roman" w:cs="Times New Roman" w:hAnsi="Times New Roman"/>
          <w:sz w:val="52"/>
          <w:szCs w:val="52"/>
          <w:lang w:val="en-US"/>
        </w:rPr>
        <w:t>蓝山县毛俊中心幼儿园</w:t>
      </w:r>
      <w:r>
        <w:rPr>
          <w:rFonts w:ascii="Times New Roman" w:cs="Times New Roman" w:eastAsia="方正小标宋_GBK" w:hAnsi="Times New Roman"/>
          <w:sz w:val="52"/>
          <w:szCs w:val="52"/>
        </w:rPr>
        <w:t>概况</w:t>
      </w:r>
    </w:p>
    <w:p w14:paraId="5793BE67">
      <w:pPr>
        <w:pStyle w:val="style78"/>
        <w:ind w:left="0" w:leftChars="0" w:firstLine="0" w:firstLineChars="0"/>
        <w:rPr>
          <w:rFonts w:ascii="Times New Roman" w:cs="Times New Roman" w:hAnsi="Times New Roman"/>
        </w:rPr>
      </w:pPr>
    </w:p>
    <w:p w14:paraId="0E0C8CA5">
      <w:pPr>
        <w:pStyle w:val="style179"/>
        <w:spacing w:lineRule="exact" w:line="600"/>
        <w:ind w:firstLine="0" w:firstLineChars="0"/>
        <w:jc w:val="left"/>
        <w:rPr>
          <w:rFonts w:ascii="Times New Roman" w:cs="Times New Roman" w:eastAsia="黑体" w:hAnsi="Times New Roman"/>
          <w:sz w:val="32"/>
          <w:szCs w:val="32"/>
        </w:rPr>
      </w:pPr>
      <w:r>
        <w:rPr>
          <w:rFonts w:ascii="Times New Roman" w:cs="Times New Roman" w:eastAsia="黑体" w:hAnsi="Times New Roman" w:hint="eastAsia"/>
          <w:sz w:val="32"/>
          <w:szCs w:val="32"/>
        </w:rPr>
        <w:t>一、</w:t>
      </w:r>
      <w:r>
        <w:rPr>
          <w:rFonts w:ascii="Times New Roman" w:cs="Times New Roman" w:eastAsia="黑体" w:hAnsi="Times New Roman"/>
          <w:sz w:val="32"/>
          <w:szCs w:val="32"/>
        </w:rPr>
        <w:t>部门职责</w:t>
      </w:r>
    </w:p>
    <w:p w14:paraId="2E1D4F7D">
      <w:pPr>
        <w:pStyle w:val="style0"/>
        <w:widowControl/>
        <w:adjustRightInd/>
        <w:snapToGrid/>
        <w:spacing w:lineRule="exact" w:line="600"/>
        <w:ind w:firstLine="640" w:firstLineChars="200"/>
        <w:jc w:val="left"/>
        <w:rPr>
          <w:rFonts w:ascii="Times New Roman" w:cs="Times New Roman" w:eastAsia="仿宋_GB2312" w:hAnsi="Times New Roman"/>
          <w:sz w:val="32"/>
          <w:szCs w:val="32"/>
        </w:rPr>
      </w:pPr>
      <w:r>
        <w:rPr>
          <w:rFonts w:ascii="Times New Roman" w:cs="Times New Roman" w:eastAsia="仿宋_GB2312" w:hAnsi="Times New Roman"/>
          <w:sz w:val="32"/>
          <w:szCs w:val="32"/>
        </w:rPr>
        <w:t>（一</w:t>
      </w:r>
      <w:r>
        <w:rPr>
          <w:rFonts w:ascii="Times New Roman" w:cs="Times New Roman" w:eastAsia="仿宋_GB2312" w:hAnsi="Times New Roman"/>
          <w:sz w:val="32"/>
          <w:szCs w:val="32"/>
          <w:lang w:val="en-US"/>
        </w:rPr>
        <w:t>）</w:t>
      </w:r>
      <w:r>
        <w:rPr>
          <w:rFonts w:ascii="仿宋" w:cs="仿宋" w:eastAsia="仿宋" w:hAnsi="仿宋" w:hint="default"/>
          <w:b w:val="false"/>
          <w:bCs w:val="false"/>
          <w:i w:val="false"/>
          <w:iCs w:val="false"/>
          <w:color w:val="auto"/>
          <w:kern w:val="2"/>
          <w:sz w:val="32"/>
          <w:szCs w:val="32"/>
          <w:highlight w:val="none"/>
          <w:vertAlign w:val="baseline"/>
          <w:em w:val="none"/>
          <w:lang w:val="en-US" w:bidi="ar-SA" w:eastAsia="zh-CN"/>
        </w:rPr>
        <w:t>主要职能：实施学前教育，促进幼儿教育的发展，搞好幼小衔接教育。</w:t>
      </w:r>
    </w:p>
    <w:p w14:paraId="66DC9723">
      <w:pPr>
        <w:pStyle w:val="style0"/>
        <w:widowControl/>
        <w:spacing w:lineRule="exact" w:line="600"/>
        <w:rPr>
          <w:rFonts w:ascii="Times New Roman" w:cs="Times New Roman" w:eastAsia="黑体" w:hAnsi="Times New Roman"/>
          <w:bCs/>
          <w:kern w:val="0"/>
          <w:sz w:val="32"/>
          <w:szCs w:val="32"/>
        </w:rPr>
      </w:pPr>
      <w:r>
        <w:rPr>
          <w:rFonts w:ascii="Times New Roman" w:cs="Times New Roman" w:eastAsia="黑体" w:hAnsi="Times New Roman"/>
          <w:bCs/>
          <w:kern w:val="0"/>
          <w:sz w:val="32"/>
          <w:szCs w:val="32"/>
        </w:rPr>
        <w:t>二、机构设置及决算单位构成</w:t>
      </w:r>
    </w:p>
    <w:p w14:paraId="F1E152FA">
      <w:pPr>
        <w:pStyle w:val="style0"/>
        <w:widowControl/>
        <w:spacing w:lineRule="exact" w:line="600"/>
        <w:rPr>
          <w:rFonts w:ascii="Times New Roman" w:cs="Times New Roman" w:eastAsia="仿宋_GB2312" w:hAnsi="Times New Roman"/>
          <w:bCs/>
          <w:kern w:val="0"/>
          <w:sz w:val="32"/>
          <w:szCs w:val="32"/>
        </w:rPr>
      </w:pPr>
      <w:r>
        <w:rPr>
          <w:rFonts w:ascii="Times New Roman" w:cs="Times New Roman" w:eastAsia="仿宋_GB2312" w:hAnsi="Times New Roman"/>
          <w:bCs/>
          <w:kern w:val="0"/>
          <w:sz w:val="32"/>
          <w:szCs w:val="32"/>
          <w:lang w:val="en-US"/>
        </w:rPr>
        <w:t xml:space="preserve">    </w:t>
      </w:r>
      <w:r>
        <w:rPr>
          <w:rFonts w:ascii="Times New Roman" w:cs="Times New Roman" w:eastAsia="仿宋_GB2312" w:hAnsi="Times New Roman"/>
          <w:bCs/>
          <w:kern w:val="0"/>
          <w:sz w:val="32"/>
          <w:szCs w:val="32"/>
        </w:rPr>
        <w:t>（一）内设机构设置</w:t>
      </w:r>
      <w:r>
        <w:rPr>
          <w:rFonts w:ascii="Times New Roman" w:cs="Times New Roman" w:eastAsia="仿宋_GB2312" w:hAnsi="Times New Roman"/>
          <w:bCs/>
          <w:kern w:val="0"/>
          <w:sz w:val="32"/>
          <w:szCs w:val="32"/>
          <w:lang w:val="en-US"/>
        </w:rPr>
        <w:t>。</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蓝山县毛俊中心幼儿园</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内设机构包括：</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园长办公室、财务室、教师办公室。</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2024年幼儿人数60人，班级3个。</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蓝山县毛俊中心幼儿园</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现有</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教职工共12人，其中在职教师8人，临聘人员4人。</w:t>
      </w:r>
    </w:p>
    <w:p w14:paraId="38E017C3">
      <w:pPr>
        <w:pStyle w:val="style0"/>
        <w:widowControl/>
        <w:spacing w:lineRule="exact" w:line="600"/>
        <w:rPr>
          <w:rFonts w:ascii="Times New Roman" w:cs="Times New Roman" w:eastAsia="仿宋_GB2312" w:hAnsi="Times New Roman"/>
          <w:bCs/>
          <w:kern w:val="0"/>
          <w:sz w:val="32"/>
          <w:szCs w:val="32"/>
        </w:rPr>
      </w:pPr>
      <w:r>
        <w:rPr>
          <w:rFonts w:ascii="Times New Roman" w:cs="Times New Roman" w:eastAsia="仿宋_GB2312" w:hAnsi="Times New Roman"/>
          <w:bCs/>
          <w:kern w:val="0"/>
          <w:sz w:val="32"/>
          <w:szCs w:val="32"/>
          <w:lang w:val="en-US"/>
        </w:rPr>
        <w:t xml:space="preserve">    </w:t>
      </w:r>
      <w:r>
        <w:rPr>
          <w:rFonts w:ascii="Times New Roman" w:cs="Times New Roman" w:eastAsia="仿宋_GB2312" w:hAnsi="Times New Roman"/>
          <w:bCs/>
          <w:kern w:val="0"/>
          <w:sz w:val="32"/>
          <w:szCs w:val="32"/>
        </w:rPr>
        <w:t>（二）决算单位构成。</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蓝山县毛俊中心幼儿园</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单位</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2024年部门决算汇总公开单位只有本级，没有其他预算单位，因此本部门预算仅含本级预算。</w:t>
      </w:r>
    </w:p>
    <w:p w14:paraId="FDA49D6C">
      <w:pPr>
        <w:pStyle w:val="style0"/>
        <w:jc w:val="left"/>
        <w:rPr>
          <w:rFonts w:ascii="Times New Roman" w:cs="Times New Roman" w:eastAsia="仿宋_GB2312" w:hAnsi="Times New Roman"/>
          <w:sz w:val="28"/>
          <w:szCs w:val="32"/>
        </w:rPr>
      </w:pPr>
    </w:p>
    <w:p w14:paraId="51E179EB">
      <w:pPr>
        <w:pStyle w:val="style0"/>
        <w:jc w:val="center"/>
        <w:rPr>
          <w:rFonts w:ascii="Times New Roman" w:cs="Times New Roman" w:eastAsia="黑体" w:hAnsi="Times New Roman"/>
          <w:sz w:val="28"/>
          <w:szCs w:val="28"/>
        </w:rPr>
      </w:pPr>
    </w:p>
    <w:p w14:paraId="E0E1A969">
      <w:pPr>
        <w:pStyle w:val="style0"/>
        <w:jc w:val="center"/>
        <w:rPr>
          <w:rFonts w:ascii="Times New Roman" w:cs="Times New Roman" w:eastAsia="黑体" w:hAnsi="Times New Roman"/>
          <w:sz w:val="28"/>
          <w:szCs w:val="28"/>
        </w:rPr>
      </w:pPr>
    </w:p>
    <w:p w14:paraId="F80CBE9E">
      <w:pPr>
        <w:pStyle w:val="style0"/>
        <w:jc w:val="center"/>
        <w:rPr>
          <w:rFonts w:ascii="Times New Roman" w:cs="Times New Roman" w:eastAsia="黑体" w:hAnsi="Times New Roman"/>
          <w:sz w:val="28"/>
          <w:szCs w:val="28"/>
        </w:rPr>
      </w:pPr>
    </w:p>
    <w:p w14:paraId="50528642">
      <w:pPr>
        <w:pStyle w:val="style0"/>
        <w:jc w:val="center"/>
        <w:rPr>
          <w:rFonts w:ascii="Times New Roman" w:cs="Times New Roman" w:eastAsia="黑体" w:hAnsi="Times New Roman"/>
          <w:sz w:val="28"/>
          <w:szCs w:val="28"/>
        </w:rPr>
      </w:pPr>
    </w:p>
    <w:p w14:paraId="51A02D81">
      <w:pPr>
        <w:pStyle w:val="style0"/>
        <w:jc w:val="center"/>
        <w:rPr>
          <w:rFonts w:ascii="Times New Roman" w:cs="Times New Roman" w:eastAsia="黑体" w:hAnsi="Times New Roman"/>
          <w:sz w:val="28"/>
          <w:szCs w:val="28"/>
        </w:rPr>
      </w:pPr>
    </w:p>
    <w:p w14:paraId="73A63319">
      <w:pPr>
        <w:pStyle w:val="style29"/>
        <w:rPr>
          <w:rFonts w:ascii="Times New Roman" w:cs="Times New Roman" w:hAnsi="Times New Roman"/>
        </w:rPr>
        <w:sectPr>
          <w:footerReference w:type="default" r:id="rId5"/>
          <w:pgSz w:w="11906" w:h="16838" w:orient="portrait"/>
          <w:pgMar w:top="1417" w:right="1588" w:bottom="1417" w:left="1588" w:header="851" w:footer="992" w:gutter="0"/>
          <w:pgNumType w:start="1"/>
          <w:cols w:space="425"/>
          <w:docGrid w:type="lines" w:linePitch="312"/>
        </w:sectPr>
      </w:pPr>
    </w:p>
    <w:p w14:paraId="8FB7F96F">
      <w:pPr>
        <w:pStyle w:val="style4099"/>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第二部分</w:t>
      </w:r>
      <w:r>
        <w:rPr>
          <w:rFonts w:ascii="Times New Roman" w:cs="Times New Roman" w:eastAsia="方正小标宋_GBK" w:hAnsi="Times New Roman"/>
          <w:sz w:val="52"/>
          <w:szCs w:val="52"/>
        </w:rPr>
        <w:t xml:space="preserve">    </w:t>
      </w:r>
      <w:r>
        <w:rPr>
          <w:rFonts w:ascii="Times New Roman" w:cs="Times New Roman" w:eastAsia="方正小标宋_GBK" w:hAnsi="Times New Roman"/>
          <w:sz w:val="52"/>
          <w:szCs w:val="52"/>
        </w:rPr>
        <w:t>部门决算表</w:t>
      </w:r>
    </w:p>
    <w:p w14:paraId="83E04BE8">
      <w:pPr>
        <w:pStyle w:val="style0"/>
        <w:widowControl/>
        <w:spacing w:after="156" w:afterLines="50"/>
        <w:jc w:val="center"/>
        <w:textAlignment w:val="center"/>
        <w:rPr>
          <w:rFonts w:ascii="Times New Roman" w:cs="Times New Roman" w:eastAsia="黑体" w:hAnsi="Times New Roman"/>
          <w:color w:val="000000"/>
          <w:sz w:val="36"/>
          <w:szCs w:val="36"/>
        </w:rPr>
      </w:pPr>
      <w:r>
        <w:rPr>
          <w:rFonts w:ascii="Times New Roman" w:cs="Times New Roman" w:eastAsia="黑体" w:hAnsi="Times New Roman"/>
          <w:color w:val="000000"/>
          <w:kern w:val="0"/>
          <w:sz w:val="36"/>
          <w:szCs w:val="36"/>
        </w:rPr>
        <w:t>收入支出决算总表</w:t>
      </w:r>
    </w:p>
    <w:p w14:paraId="E6705683">
      <w:pPr>
        <w:pStyle w:val="style0"/>
        <w:widowControl/>
        <w:tabs>
          <w:tab w:val="left" w:leader="none" w:pos="4442"/>
          <w:tab w:val="left" w:leader="none" w:pos="5045"/>
          <w:tab w:val="left" w:leader="none" w:pos="6444"/>
          <w:tab w:val="left" w:leader="none" w:pos="11477"/>
          <w:tab w:val="left" w:leader="none" w:pos="13102"/>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kern w:val="0"/>
          <w:sz w:val="20"/>
          <w:szCs w:val="20"/>
        </w:rPr>
        <w:t>公开</w:t>
      </w:r>
      <w:r>
        <w:rPr>
          <w:rFonts w:ascii="Times New Roman" w:cs="Times New Roman" w:eastAsia="仿宋_GB2312" w:hAnsi="Times New Roman"/>
          <w:color w:val="000000"/>
          <w:kern w:val="0"/>
          <w:sz w:val="20"/>
          <w:szCs w:val="20"/>
        </w:rPr>
        <w:t>01</w:t>
      </w:r>
      <w:r>
        <w:rPr>
          <w:rFonts w:ascii="Times New Roman" w:cs="Times New Roman" w:eastAsia="仿宋_GB2312" w:hAnsi="Times New Roman"/>
          <w:color w:val="000000"/>
          <w:kern w:val="0"/>
          <w:sz w:val="20"/>
          <w:szCs w:val="20"/>
        </w:rPr>
        <w:t>表</w:t>
      </w:r>
    </w:p>
    <w:p w14:paraId="9D7324AF">
      <w:pPr>
        <w:pStyle w:val="style0"/>
        <w:widowControl/>
        <w:tabs>
          <w:tab w:val="left" w:leader="none" w:pos="4442"/>
          <w:tab w:val="left" w:leader="none" w:pos="5045"/>
          <w:tab w:val="left" w:leader="none" w:pos="6444"/>
          <w:tab w:val="left" w:leader="none" w:pos="11477"/>
          <w:tab w:val="left" w:leader="none" w:pos="13102"/>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kern w:val="0"/>
          <w:sz w:val="20"/>
          <w:szCs w:val="20"/>
        </w:rPr>
        <w:t>单位：万元</w:t>
      </w:r>
    </w:p>
    <w:tbl>
      <w:tblPr>
        <w:tblW w:w="14896" w:type="dxa"/>
        <w:jc w:val="center"/>
        <w:tblLook w:val="04A0" w:firstRow="1" w:lastRow="0" w:firstColumn="1" w:lastColumn="0" w:noHBand="0" w:noVBand="1"/>
      </w:tblPr>
      <w:tblGrid>
        <w:gridCol w:w="6704"/>
        <w:gridCol w:w="738"/>
        <w:gridCol w:w="1175"/>
        <w:gridCol w:w="4359"/>
        <w:gridCol w:w="738"/>
        <w:gridCol w:w="1168"/>
      </w:tblGrid>
      <w:tr w14:paraId="9EAD3D36">
        <w:trPr>
          <w:trHeight w:val="340" w:hRule="exact"/>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4B9CF2">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9E15D44C">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支出</w:t>
            </w:r>
          </w:p>
        </w:tc>
      </w:tr>
      <w:tr w14:paraId="56FAB404">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55825">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项</w:t>
            </w:r>
            <w:r>
              <w:rPr>
                <w:rFonts w:ascii="Times New Roman" w:cs="Times New Roman" w:eastAsia="仿宋_GB2312" w:hAnsi="Times New Roman"/>
                <w:color w:val="000000"/>
                <w:kern w:val="0"/>
                <w:sz w:val="24"/>
                <w:szCs w:val="24"/>
              </w:rPr>
              <w:t xml:space="preserve">    </w:t>
            </w:r>
            <w:r>
              <w:rPr>
                <w:rFonts w:ascii="Times New Roman" w:cs="Times New Roman" w:eastAsia="仿宋_GB2312" w:hAnsi="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FFC11C">
            <w:pPr>
              <w:pStyle w:val="style0"/>
              <w:widowControl/>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035FA8">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54EAAC">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项</w:t>
            </w:r>
            <w:r>
              <w:rPr>
                <w:rFonts w:ascii="Times New Roman" w:cs="Times New Roman" w:eastAsia="仿宋_GB2312" w:hAnsi="Times New Roman"/>
                <w:color w:val="000000"/>
                <w:kern w:val="0"/>
                <w:sz w:val="24"/>
                <w:szCs w:val="24"/>
              </w:rPr>
              <w:t xml:space="preserve">    </w:t>
            </w:r>
            <w:r>
              <w:rPr>
                <w:rFonts w:ascii="Times New Roman" w:cs="Times New Roman" w:eastAsia="仿宋_GB2312" w:hAnsi="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C7C1812A">
            <w:pPr>
              <w:pStyle w:val="style0"/>
              <w:widowControl/>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380E8F">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决算数</w:t>
            </w:r>
          </w:p>
        </w:tc>
      </w:tr>
      <w:tr w14:paraId="D9C20FC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DDC94A">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w:t>
            </w:r>
            <w:r>
              <w:rPr>
                <w:rFonts w:ascii="Times New Roman" w:cs="Times New Roman" w:eastAsia="仿宋_GB2312" w:hAnsi="Times New Roman"/>
                <w:color w:val="000000"/>
                <w:kern w:val="0"/>
                <w:sz w:val="24"/>
                <w:szCs w:val="24"/>
              </w:rPr>
              <w:t xml:space="preserve">    </w:t>
            </w:r>
            <w:r>
              <w:rPr>
                <w:rFonts w:ascii="Times New Roman" w:cs="Times New Roman" w:eastAsia="仿宋_GB2312" w:hAnsi="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9A7A9534">
            <w:pPr>
              <w:pStyle w:val="style0"/>
              <w:jc w:val="center"/>
              <w:rPr>
                <w:rFonts w:ascii="Times New Roman" w:cs="Times New Roman" w:eastAsia="仿宋_GB2312"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669D7">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C50D00A2">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w:t>
            </w:r>
            <w:r>
              <w:rPr>
                <w:rFonts w:ascii="Times New Roman" w:cs="Times New Roman" w:eastAsia="仿宋_GB2312" w:hAnsi="Times New Roman"/>
                <w:color w:val="000000"/>
                <w:kern w:val="0"/>
                <w:sz w:val="24"/>
                <w:szCs w:val="24"/>
              </w:rPr>
              <w:t xml:space="preserve">    </w:t>
            </w:r>
            <w:r>
              <w:rPr>
                <w:rFonts w:ascii="Times New Roman" w:cs="Times New Roman" w:eastAsia="仿宋_GB2312" w:hAnsi="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AB6EB752">
            <w:pPr>
              <w:pStyle w:val="style0"/>
              <w:jc w:val="center"/>
              <w:rPr>
                <w:rFonts w:ascii="Times New Roman" w:cs="Times New Roman" w:eastAsia="仿宋_GB2312"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730522">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2</w:t>
            </w:r>
          </w:p>
        </w:tc>
      </w:tr>
      <w:tr w14:paraId="0CEA9D2A">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A5FF107E">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4D39B">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5B229">
            <w:pPr>
              <w:pStyle w:val="style0"/>
              <w:jc w:val="right"/>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40.4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91C30A">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F909EB2E">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23FF1">
            <w:pPr>
              <w:pStyle w:val="style0"/>
              <w:jc w:val="right"/>
              <w:rPr>
                <w:rFonts w:ascii="Times New Roman" w:cs="Times New Roman" w:eastAsia="仿宋_GB2312" w:hAnsi="Times New Roman"/>
                <w:color w:val="000000"/>
                <w:sz w:val="22"/>
              </w:rPr>
            </w:pPr>
          </w:p>
        </w:tc>
      </w:tr>
      <w:tr w14:paraId="748618F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17FD17">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E3DF2FEC">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FD91ED30">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97D7A22A">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84884">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01E0">
            <w:pPr>
              <w:pStyle w:val="style0"/>
              <w:jc w:val="right"/>
              <w:rPr>
                <w:rFonts w:ascii="Times New Roman" w:cs="Times New Roman" w:eastAsia="仿宋_GB2312" w:hAnsi="Times New Roman"/>
                <w:color w:val="000000"/>
                <w:sz w:val="22"/>
              </w:rPr>
            </w:pPr>
          </w:p>
        </w:tc>
      </w:tr>
      <w:tr w14:paraId="656CBE90">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44567">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4EF14">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CE11">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541957">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C62F5">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EE25BE47">
            <w:pPr>
              <w:pStyle w:val="style0"/>
              <w:jc w:val="right"/>
              <w:rPr>
                <w:rFonts w:ascii="Times New Roman" w:cs="Times New Roman" w:eastAsia="仿宋_GB2312" w:hAnsi="Times New Roman"/>
                <w:color w:val="000000"/>
                <w:sz w:val="22"/>
              </w:rPr>
            </w:pPr>
          </w:p>
        </w:tc>
      </w:tr>
      <w:tr w14:paraId="D26BE534">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E000EA">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AB55CE0B">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71D35">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AC230ABD">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A68247">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EB8DF1C3">
            <w:pPr>
              <w:pStyle w:val="style0"/>
              <w:jc w:val="right"/>
              <w:rPr>
                <w:rFonts w:ascii="Times New Roman" w:cs="Times New Roman" w:eastAsia="仿宋_GB2312" w:hAnsi="Times New Roman"/>
                <w:color w:val="000000"/>
                <w:sz w:val="22"/>
              </w:rPr>
            </w:pPr>
          </w:p>
        </w:tc>
      </w:tr>
      <w:tr w14:paraId="1C64EA0B">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C78055A7">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8438E95F">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A4F306F6">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8B17B6">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E8F355E0">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12825">
            <w:pPr>
              <w:pStyle w:val="style0"/>
              <w:jc w:val="right"/>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40.4</w:t>
            </w:r>
          </w:p>
        </w:tc>
      </w:tr>
      <w:tr w14:paraId="13F5D91C">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324B9E">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E47132AD">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9A6B9">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A72D2">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A4A3C8">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B5F34FC9">
            <w:pPr>
              <w:pStyle w:val="style0"/>
              <w:jc w:val="right"/>
              <w:rPr>
                <w:rFonts w:ascii="Times New Roman" w:cs="Times New Roman" w:eastAsia="仿宋_GB2312" w:hAnsi="Times New Roman"/>
                <w:color w:val="000000"/>
                <w:sz w:val="22"/>
              </w:rPr>
            </w:pPr>
          </w:p>
        </w:tc>
      </w:tr>
      <w:tr w14:paraId="62639339">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F6E42C">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8D79A2">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B30268DC">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8A3B2DFC">
            <w:pPr>
              <w:pStyle w:val="style0"/>
              <w:widowControl/>
              <w:jc w:val="left"/>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DB025A05">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8A92F7A7">
            <w:pPr>
              <w:pStyle w:val="style0"/>
              <w:jc w:val="right"/>
              <w:rPr>
                <w:rFonts w:ascii="Times New Roman" w:cs="Times New Roman" w:eastAsia="仿宋_GB2312" w:hAnsi="Times New Roman"/>
                <w:color w:val="000000"/>
                <w:sz w:val="22"/>
              </w:rPr>
            </w:pPr>
          </w:p>
        </w:tc>
      </w:tr>
      <w:tr w14:paraId="0C311487">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DDFF1204">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72ED71">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879D27E4">
            <w:pPr>
              <w:pStyle w:val="style0"/>
              <w:jc w:val="lef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859FE11F">
            <w:pPr>
              <w:pStyle w:val="style0"/>
              <w:jc w:val="lef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8F7A5073">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3F09C">
            <w:pPr>
              <w:pStyle w:val="style0"/>
              <w:jc w:val="center"/>
              <w:rPr>
                <w:rFonts w:ascii="Times New Roman" w:cs="Times New Roman" w:eastAsia="仿宋_GB2312" w:hAnsi="Times New Roman"/>
                <w:color w:val="000000"/>
                <w:sz w:val="22"/>
              </w:rPr>
            </w:pPr>
          </w:p>
        </w:tc>
      </w:tr>
      <w:tr w14:paraId="6E3FC168">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9477D02D">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617469">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946FE3C2">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60C92">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274141">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B4C4848F">
            <w:pPr>
              <w:pStyle w:val="style0"/>
              <w:rPr>
                <w:rFonts w:ascii="Times New Roman" w:cs="Times New Roman" w:eastAsia="仿宋_GB2312" w:hAnsi="Times New Roman"/>
                <w:b/>
                <w:color w:val="000000"/>
                <w:sz w:val="22"/>
              </w:rPr>
            </w:pPr>
          </w:p>
        </w:tc>
      </w:tr>
      <w:tr w14:paraId="C9AE8EBB">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702C8">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4B536C">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D5381">
            <w:pPr>
              <w:pStyle w:val="style0"/>
              <w:jc w:val="right"/>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B98030F3">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3E0CB1">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AC72D">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40.4</w:t>
            </w:r>
          </w:p>
        </w:tc>
      </w:tr>
      <w:tr w14:paraId="E1455376">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3308F">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w:t>
            </w:r>
            <w:r>
              <w:rPr>
                <w:rFonts w:ascii="Times New Roman" w:cs="Times New Roman" w:eastAsia="仿宋_GB2312" w:hAnsi="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166DD9">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7E19A">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EC58EE8F">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w:t>
            </w:r>
            <w:r>
              <w:rPr>
                <w:rFonts w:ascii="Times New Roman" w:cs="Times New Roman" w:eastAsia="仿宋_GB2312" w:hAnsi="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C64D5D">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BEC9F80A">
            <w:pPr>
              <w:pStyle w:val="style0"/>
              <w:rPr>
                <w:rFonts w:ascii="Times New Roman" w:cs="Times New Roman" w:eastAsia="仿宋_GB2312" w:hAnsi="Times New Roman"/>
                <w:color w:val="000000"/>
                <w:sz w:val="22"/>
              </w:rPr>
            </w:pPr>
          </w:p>
        </w:tc>
      </w:tr>
      <w:tr w14:paraId="AD906C0D">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E4EA6A34">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w:t>
            </w:r>
            <w:r>
              <w:rPr>
                <w:rFonts w:ascii="Times New Roman" w:cs="Times New Roman" w:eastAsia="仿宋_GB2312" w:hAnsi="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94107E7F">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40915">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50EC7">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w:t>
            </w:r>
            <w:r>
              <w:rPr>
                <w:rFonts w:ascii="Times New Roman" w:cs="Times New Roman" w:eastAsia="仿宋_GB2312" w:hAnsi="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BD5E5AD3">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60529">
            <w:pPr>
              <w:pStyle w:val="style0"/>
              <w:rPr>
                <w:rFonts w:ascii="Times New Roman" w:cs="Times New Roman" w:eastAsia="仿宋_GB2312" w:hAnsi="Times New Roman"/>
                <w:color w:val="000000"/>
                <w:sz w:val="22"/>
              </w:rPr>
            </w:pPr>
          </w:p>
        </w:tc>
      </w:tr>
      <w:tr w14:paraId="6A39DE2E">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A987C400">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76B7D1">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B1A0B337">
            <w:pPr>
              <w:pStyle w:val="style0"/>
              <w:jc w:val="right"/>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40.4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E2BA5B">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D0194073">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A5CF4">
            <w:pPr>
              <w:pStyle w:val="style0"/>
              <w:rPr>
                <w:rFonts w:ascii="Times New Roman" w:cs="Times New Roman" w:eastAsia="仿宋_GB2312" w:hAnsi="Times New Roman"/>
                <w:b/>
                <w:color w:val="000000"/>
                <w:sz w:val="22"/>
              </w:rPr>
            </w:pPr>
            <w:r>
              <w:rPr>
                <w:rFonts w:ascii="Times New Roman" w:cs="Times New Roman" w:eastAsia="仿宋_GB2312" w:hAnsi="Times New Roman"/>
                <w:b/>
                <w:color w:val="000000"/>
                <w:sz w:val="22"/>
                <w:lang w:val="en-US"/>
              </w:rPr>
              <w:t>40.4</w:t>
            </w:r>
          </w:p>
        </w:tc>
      </w:tr>
    </w:tbl>
    <w:p w14:paraId="554E7B69">
      <w:pPr>
        <w:pStyle w:val="style0"/>
        <w:widowControl/>
        <w:jc w:val="left"/>
        <w:textAlignment w:val="center"/>
        <w:rPr>
          <w:rFonts w:ascii="Times New Roman" w:cs="Times New Roman" w:eastAsia="宋体" w:hAnsi="Times New Roman"/>
          <w:color w:val="000000"/>
          <w:kern w:val="0"/>
          <w:sz w:val="24"/>
          <w:szCs w:val="24"/>
        </w:rPr>
      </w:pPr>
    </w:p>
    <w:p w14:paraId="DD4CE7DA">
      <w:pPr>
        <w:pStyle w:val="style0"/>
        <w:widowControl/>
        <w:jc w:val="left"/>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注：</w:t>
      </w:r>
      <w:r>
        <w:rPr>
          <w:rFonts w:ascii="Times New Roman" w:cs="Times New Roman" w:eastAsia="仿宋_GB2312" w:hAnsi="Times New Roman"/>
          <w:color w:val="000000"/>
          <w:kern w:val="0"/>
          <w:sz w:val="24"/>
          <w:szCs w:val="24"/>
        </w:rPr>
        <w:t>1.</w:t>
      </w:r>
      <w:r>
        <w:rPr>
          <w:rFonts w:ascii="Times New Roman" w:cs="Times New Roman" w:eastAsia="仿宋_GB2312" w:hAnsi="Times New Roman"/>
          <w:color w:val="000000"/>
          <w:kern w:val="0"/>
          <w:sz w:val="24"/>
          <w:szCs w:val="24"/>
        </w:rPr>
        <w:t>本表反映部门本年度的总收支和年末结转结余情况。</w:t>
      </w:r>
      <w:r>
        <w:rPr>
          <w:rFonts w:ascii="Times New Roman" w:cs="Times New Roman" w:eastAsia="仿宋_GB2312" w:hAnsi="Times New Roman"/>
          <w:color w:val="000000"/>
          <w:kern w:val="0"/>
          <w:sz w:val="24"/>
          <w:szCs w:val="24"/>
        </w:rPr>
        <w:br/>
      </w:r>
      <w:r>
        <w:rPr>
          <w:rFonts w:ascii="Times New Roman" w:cs="Times New Roman" w:eastAsia="仿宋_GB2312" w:hAnsi="Times New Roman"/>
          <w:color w:val="000000"/>
          <w:kern w:val="0"/>
          <w:sz w:val="24"/>
          <w:szCs w:val="24"/>
        </w:rPr>
        <w:t xml:space="preserve">    2.</w:t>
      </w:r>
      <w:r>
        <w:rPr>
          <w:rFonts w:ascii="Times New Roman" w:cs="Times New Roman" w:eastAsia="仿宋_GB2312" w:hAnsi="Times New Roman"/>
          <w:color w:val="000000"/>
          <w:kern w:val="0"/>
          <w:sz w:val="24"/>
          <w:szCs w:val="24"/>
        </w:rPr>
        <w:t>本套报表金额单位转换时可能存在尾数误差。</w:t>
      </w:r>
    </w:p>
    <w:p w14:paraId="EFE581F6">
      <w:pPr>
        <w:pStyle w:val="style0"/>
        <w:rPr>
          <w:rFonts w:ascii="Times New Roman" w:cs="Times New Roman" w:eastAsia="华文中宋" w:hAnsi="Times New Roman"/>
          <w:color w:val="000000"/>
          <w:sz w:val="32"/>
          <w:szCs w:val="32"/>
        </w:rPr>
      </w:pPr>
      <w:r>
        <w:rPr>
          <w:rFonts w:ascii="Times New Roman" w:cs="Times New Roman" w:eastAsia="华文中宋" w:hAnsi="Times New Roman"/>
          <w:color w:val="000000"/>
          <w:sz w:val="32"/>
          <w:szCs w:val="32"/>
        </w:rPr>
        <w:br w:type="page"/>
      </w:r>
    </w:p>
    <w:p w14:paraId="3805F2B6">
      <w:pPr>
        <w:pStyle w:val="style0"/>
        <w:widowControl/>
        <w:spacing w:lineRule="exact" w:line="400"/>
        <w:jc w:val="center"/>
        <w:textAlignment w:val="center"/>
        <w:rPr>
          <w:rFonts w:ascii="Times New Roman" w:cs="Times New Roman" w:eastAsia="黑体" w:hAnsi="Times New Roman"/>
          <w:color w:val="000000"/>
          <w:kern w:val="0"/>
          <w:sz w:val="32"/>
          <w:szCs w:val="32"/>
        </w:rPr>
      </w:pPr>
    </w:p>
    <w:p w14:paraId="1B07F21F">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收入决算表</w:t>
      </w:r>
    </w:p>
    <w:p w14:paraId="53ADEC6C">
      <w:pPr>
        <w:pStyle w:val="style0"/>
        <w:tabs>
          <w:tab w:val="left" w:leader="none" w:pos="315"/>
          <w:tab w:val="left" w:leader="none" w:pos="630"/>
          <w:tab w:val="left" w:leader="none" w:pos="2100"/>
          <w:tab w:val="left" w:leader="none" w:pos="3895"/>
          <w:tab w:val="left" w:leader="none" w:pos="5690"/>
          <w:tab w:val="left" w:leader="none" w:pos="7485"/>
          <w:tab w:val="left" w:leader="none" w:pos="9280"/>
          <w:tab w:val="left" w:leader="none" w:pos="11075"/>
          <w:tab w:val="left" w:leader="none" w:pos="12870"/>
        </w:tabs>
        <w:jc w:val="right"/>
        <w:rPr>
          <w:rFonts w:ascii="Times New Roman" w:cs="Times New Roman" w:eastAsia="仿宋_GB2312" w:hAnsi="Times New Roman"/>
          <w:color w:val="000000"/>
          <w:sz w:val="20"/>
          <w:szCs w:val="20"/>
        </w:rPr>
      </w:pP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color w:val="000000"/>
          <w:sz w:val="20"/>
          <w:szCs w:val="20"/>
        </w:rPr>
        <w:t>公开</w:t>
      </w:r>
      <w:r>
        <w:rPr>
          <w:rFonts w:ascii="Times New Roman" w:cs="Times New Roman" w:eastAsia="仿宋_GB2312" w:hAnsi="Times New Roman"/>
          <w:color w:val="000000"/>
          <w:sz w:val="20"/>
          <w:szCs w:val="20"/>
        </w:rPr>
        <w:t>02</w:t>
      </w:r>
      <w:r>
        <w:rPr>
          <w:rFonts w:ascii="Times New Roman" w:cs="Times New Roman" w:eastAsia="仿宋_GB2312" w:hAnsi="Times New Roman"/>
          <w:color w:val="000000"/>
          <w:sz w:val="20"/>
          <w:szCs w:val="20"/>
        </w:rPr>
        <w:t>表</w:t>
      </w:r>
    </w:p>
    <w:p w14:paraId="5B70EEAA">
      <w:pPr>
        <w:pStyle w:val="style0"/>
        <w:tabs>
          <w:tab w:val="left" w:leader="none" w:pos="630"/>
          <w:tab w:val="left" w:leader="none" w:pos="2100"/>
          <w:tab w:val="left" w:leader="none" w:pos="3895"/>
          <w:tab w:val="left" w:leader="none" w:pos="5690"/>
          <w:tab w:val="left" w:leader="none" w:pos="7485"/>
          <w:tab w:val="left" w:leader="none" w:pos="9280"/>
          <w:tab w:val="left" w:leader="none" w:pos="11075"/>
          <w:tab w:val="left" w:leader="none" w:pos="12870"/>
        </w:tabs>
        <w:jc w:val="right"/>
        <w:rPr>
          <w:rFonts w:ascii="Times New Roman" w:cs="Times New Roman" w:eastAsia="仿宋_GB2312" w:hAnsi="Times New Roman"/>
          <w:color w:val="000000"/>
          <w:sz w:val="20"/>
          <w:szCs w:val="20"/>
        </w:rPr>
      </w:pPr>
      <w:r>
        <w:rPr>
          <w:rFonts w:ascii="Times New Roman" w:cs="Times New Roman" w:eastAsia="仿宋_GB2312" w:hAnsi="Times New Roman"/>
          <w:color w:val="000000"/>
          <w:sz w:val="20"/>
          <w:szCs w:val="20"/>
        </w:rPr>
        <w:t>部门：</w:t>
      </w:r>
      <w:r>
        <w:rPr>
          <w:rFonts w:ascii="Times New Roman" w:cs="Times New Roman" w:eastAsia="仿宋_GB2312" w:hAnsi="Times New Roman"/>
          <w:color w:val="000000"/>
          <w:sz w:val="20"/>
          <w:szCs w:val="20"/>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color w:val="000000"/>
          <w:sz w:val="20"/>
          <w:szCs w:val="20"/>
        </w:rPr>
        <w:t>　</w:t>
      </w:r>
      <w:r>
        <w:rPr>
          <w:rFonts w:ascii="Times New Roman" w:cs="Times New Roman" w:eastAsia="仿宋_GB2312" w:hAnsi="Times New Roman"/>
          <w:color w:val="000000"/>
          <w:sz w:val="20"/>
          <w:szCs w:val="20"/>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14:paraId="0E722C92">
        <w:trPr>
          <w:trHeight w:val="450" w:hRule="atLeast"/>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A9174B61">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项</w:t>
            </w:r>
            <w:r>
              <w:rPr>
                <w:rFonts w:ascii="Times New Roman" w:cs="Times New Roman" w:eastAsia="仿宋_GB2312" w:hAnsi="Times New Roman"/>
                <w:b/>
                <w:bCs/>
              </w:rPr>
              <w:t xml:space="preserve">    </w:t>
            </w:r>
            <w:r>
              <w:rPr>
                <w:rFonts w:ascii="Times New Roman" w:cs="Times New Roman" w:eastAsia="仿宋_GB2312" w:hAnsi="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02CDBD">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F221BA">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C8A73AF">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3ED2D46">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0C13B0">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AD9DAE0F">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944C22">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其他收入</w:t>
            </w:r>
          </w:p>
        </w:tc>
      </w:tr>
      <w:tr w14:paraId="97CC96EF">
        <w:tblPrEx/>
        <w:trPr>
          <w:trHeight w:val="334" w:hRule="exact"/>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D675BFC5">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F18DB066">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科目名称</w:t>
            </w:r>
          </w:p>
        </w:tc>
        <w:tc>
          <w:tcPr>
            <w:tcW w:w="1640" w:type="dxa"/>
            <w:vMerge w:val="continue"/>
            <w:tcBorders>
              <w:top w:val="single" w:sz="4" w:space="0" w:color="auto"/>
              <w:left w:val="single" w:sz="4" w:space="0" w:color="auto"/>
              <w:bottom w:val="single" w:sz="4" w:space="0" w:color="auto"/>
              <w:right w:val="single" w:sz="4" w:space="0" w:color="auto"/>
            </w:tcBorders>
            <w:tcMar/>
            <w:vAlign w:val="center"/>
          </w:tcPr>
          <w:p w14:paraId="D061C995">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tcMar/>
            <w:vAlign w:val="center"/>
          </w:tcPr>
          <w:p w14:paraId="B55D1EAB">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tcMar/>
            <w:vAlign w:val="center"/>
          </w:tcPr>
          <w:p w14:paraId="67833F78">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tcMar/>
            <w:vAlign w:val="center"/>
          </w:tcPr>
          <w:p w14:paraId="BA9629DA">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tcMar/>
            <w:vAlign w:val="center"/>
          </w:tcPr>
          <w:p w14:paraId="8F76D748">
            <w:pPr>
              <w:pStyle w:val="style0"/>
              <w:rPr>
                <w:rFonts w:ascii="Times New Roman" w:cs="Times New Roman" w:eastAsia="仿宋_GB2312" w:hAnsi="Times New Roman"/>
                <w:sz w:val="24"/>
                <w:szCs w:val="24"/>
              </w:rPr>
            </w:pPr>
          </w:p>
        </w:tc>
        <w:tc>
          <w:tcPr>
            <w:tcW w:w="1897" w:type="dxa"/>
            <w:vMerge w:val="continue"/>
            <w:tcBorders>
              <w:top w:val="single" w:sz="4" w:space="0" w:color="auto"/>
              <w:left w:val="single" w:sz="4" w:space="0" w:color="auto"/>
              <w:bottom w:val="single" w:sz="4" w:space="0" w:color="auto"/>
              <w:right w:val="single" w:sz="4" w:space="0" w:color="auto"/>
            </w:tcBorders>
            <w:tcMar/>
            <w:vAlign w:val="center"/>
          </w:tcPr>
          <w:p w14:paraId="5CB4CE8E">
            <w:pPr>
              <w:pStyle w:val="style0"/>
              <w:rPr>
                <w:rFonts w:ascii="Times New Roman" w:cs="Times New Roman" w:eastAsia="仿宋_GB2312" w:hAnsi="Times New Roman"/>
                <w:sz w:val="24"/>
                <w:szCs w:val="24"/>
              </w:rPr>
            </w:pPr>
          </w:p>
        </w:tc>
        <w:tc>
          <w:tcPr>
            <w:tcW w:w="1383" w:type="dxa"/>
            <w:vMerge w:val="continue"/>
            <w:tcBorders>
              <w:top w:val="single" w:sz="4" w:space="0" w:color="auto"/>
              <w:left w:val="single" w:sz="4" w:space="0" w:color="auto"/>
              <w:bottom w:val="single" w:sz="4" w:space="0" w:color="auto"/>
              <w:right w:val="single" w:sz="4" w:space="0" w:color="auto"/>
            </w:tcBorders>
            <w:tcMar/>
            <w:vAlign w:val="center"/>
          </w:tcPr>
          <w:p w14:paraId="F1863F7D">
            <w:pPr>
              <w:pStyle w:val="style0"/>
              <w:rPr>
                <w:rFonts w:ascii="Times New Roman" w:cs="Times New Roman" w:eastAsia="仿宋_GB2312" w:hAnsi="Times New Roman"/>
                <w:sz w:val="24"/>
                <w:szCs w:val="24"/>
              </w:rPr>
            </w:pPr>
          </w:p>
        </w:tc>
      </w:tr>
      <w:tr w14:paraId="1EDBE968">
        <w:tblPrEx/>
        <w:trPr>
          <w:trHeight w:val="312" w:hRule="atLeast"/>
          <w:jc w:val="center"/>
        </w:trPr>
        <w:tc>
          <w:tcPr>
            <w:tcW w:w="1886" w:type="dxa"/>
            <w:vMerge w:val="continue"/>
            <w:tcBorders>
              <w:top w:val="single" w:sz="4" w:space="0" w:color="auto"/>
              <w:left w:val="single" w:sz="4" w:space="0" w:color="auto"/>
              <w:bottom w:val="single" w:sz="4" w:space="0" w:color="auto"/>
              <w:right w:val="single" w:sz="4" w:space="0" w:color="auto"/>
            </w:tcBorders>
            <w:vAlign w:val="center"/>
          </w:tcPr>
          <w:p w14:paraId="0881A15F">
            <w:pPr>
              <w:pStyle w:val="style0"/>
              <w:rPr>
                <w:rFonts w:ascii="Times New Roman" w:cs="Times New Roman" w:eastAsia="仿宋_GB2312" w:hAnsi="Times New Roman"/>
                <w:sz w:val="24"/>
                <w:szCs w:val="24"/>
              </w:rPr>
            </w:pPr>
          </w:p>
        </w:tc>
        <w:tc>
          <w:tcPr>
            <w:tcW w:w="1300" w:type="dxa"/>
            <w:vMerge w:val="continue"/>
            <w:tcBorders>
              <w:top w:val="nil"/>
              <w:left w:val="single" w:sz="4" w:space="0" w:color="auto"/>
              <w:bottom w:val="single" w:sz="4" w:space="0" w:color="auto"/>
              <w:right w:val="single" w:sz="4" w:space="0" w:color="auto"/>
            </w:tcBorders>
            <w:vAlign w:val="center"/>
          </w:tcPr>
          <w:p w14:paraId="3EA123B5">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vAlign w:val="center"/>
          </w:tcPr>
          <w:p w14:paraId="7CAF618A">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vAlign w:val="center"/>
          </w:tcPr>
          <w:p w14:paraId="703A5AB5">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vAlign w:val="center"/>
          </w:tcPr>
          <w:p w14:paraId="DC99384B">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vAlign w:val="center"/>
          </w:tcPr>
          <w:p w14:paraId="DDD1F22D">
            <w:pPr>
              <w:pStyle w:val="style0"/>
              <w:rPr>
                <w:rFonts w:ascii="Times New Roman" w:cs="Times New Roman" w:eastAsia="仿宋_GB2312" w:hAnsi="Times New Roman"/>
                <w:sz w:val="24"/>
                <w:szCs w:val="24"/>
              </w:rPr>
            </w:pPr>
          </w:p>
        </w:tc>
        <w:tc>
          <w:tcPr>
            <w:tcW w:w="1640" w:type="dxa"/>
            <w:vMerge w:val="continue"/>
            <w:tcBorders>
              <w:top w:val="single" w:sz="4" w:space="0" w:color="auto"/>
              <w:left w:val="single" w:sz="4" w:space="0" w:color="auto"/>
              <w:bottom w:val="single" w:sz="4" w:space="0" w:color="auto"/>
              <w:right w:val="single" w:sz="4" w:space="0" w:color="auto"/>
            </w:tcBorders>
            <w:vAlign w:val="center"/>
          </w:tcPr>
          <w:p w14:paraId="0EAED123">
            <w:pPr>
              <w:pStyle w:val="style0"/>
              <w:rPr>
                <w:rFonts w:ascii="Times New Roman" w:cs="Times New Roman" w:eastAsia="仿宋_GB2312" w:hAnsi="Times New Roman"/>
                <w:sz w:val="24"/>
                <w:szCs w:val="24"/>
              </w:rPr>
            </w:pPr>
          </w:p>
        </w:tc>
        <w:tc>
          <w:tcPr>
            <w:tcW w:w="1897" w:type="dxa"/>
            <w:vMerge w:val="continue"/>
            <w:tcBorders>
              <w:top w:val="single" w:sz="4" w:space="0" w:color="auto"/>
              <w:left w:val="single" w:sz="4" w:space="0" w:color="auto"/>
              <w:bottom w:val="single" w:sz="4" w:space="0" w:color="auto"/>
              <w:right w:val="single" w:sz="4" w:space="0" w:color="auto"/>
            </w:tcBorders>
            <w:vAlign w:val="center"/>
          </w:tcPr>
          <w:p w14:paraId="99734D10">
            <w:pPr>
              <w:pStyle w:val="style0"/>
              <w:rPr>
                <w:rFonts w:ascii="Times New Roman" w:cs="Times New Roman" w:eastAsia="仿宋_GB2312" w:hAnsi="Times New Roman"/>
                <w:sz w:val="24"/>
                <w:szCs w:val="24"/>
              </w:rPr>
            </w:pPr>
          </w:p>
        </w:tc>
        <w:tc>
          <w:tcPr>
            <w:tcW w:w="1383" w:type="dxa"/>
            <w:vMerge w:val="continue"/>
            <w:tcBorders>
              <w:top w:val="single" w:sz="4" w:space="0" w:color="auto"/>
              <w:left w:val="single" w:sz="4" w:space="0" w:color="auto"/>
              <w:bottom w:val="single" w:sz="4" w:space="0" w:color="auto"/>
              <w:right w:val="single" w:sz="4" w:space="0" w:color="auto"/>
            </w:tcBorders>
            <w:vAlign w:val="center"/>
          </w:tcPr>
          <w:p w14:paraId="A6C8C066">
            <w:pPr>
              <w:pStyle w:val="style0"/>
              <w:rPr>
                <w:rFonts w:ascii="Times New Roman" w:cs="Times New Roman" w:eastAsia="仿宋_GB2312" w:hAnsi="Times New Roman"/>
                <w:sz w:val="24"/>
                <w:szCs w:val="24"/>
              </w:rPr>
            </w:pPr>
          </w:p>
        </w:tc>
      </w:tr>
      <w:tr w14:paraId="3BDB1949">
        <w:tblPrEx/>
        <w:trPr>
          <w:trHeight w:val="450" w:hRule="atLeast"/>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42669">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C128ED67">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B18303F8">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04DE53">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448F3C">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B1793A">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4F106">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E8D13F30">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7</w:t>
            </w:r>
          </w:p>
        </w:tc>
      </w:tr>
      <w:tr w14:paraId="079E05DA">
        <w:tblPrEx/>
        <w:trPr>
          <w:trHeight w:val="450" w:hRule="atLeast"/>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EFCE294">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CA34DAF9">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EADB34A1">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E2D9DFDD">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A4A35310">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8E5E8B16">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D96800">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D925510">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1F735DE7">
        <w:tblPrEx/>
        <w:trPr>
          <w:trHeight w:val="450" w:hRule="atLeast"/>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985F7B3E">
            <w:pPr>
              <w:pStyle w:val="style0"/>
              <w:rPr>
                <w:rFonts w:ascii="Times New Roman" w:cs="Times New Roman" w:eastAsia="仿宋_GB2312" w:hAnsi="Times New Roman"/>
                <w:sz w:val="24"/>
                <w:szCs w:val="24"/>
              </w:rPr>
            </w:pPr>
            <w:r>
              <w:rPr>
                <w:rFonts w:ascii="Times New Roman" w:cs="Times New Roman" w:eastAsia="仿宋_GB2312" w:hAnsi="Times New Roman"/>
              </w:rPr>
              <w:t>　</w:t>
            </w:r>
            <w:r>
              <w:rPr>
                <w:rFonts w:ascii="Times New Roman" w:cs="Times New Roman" w:eastAsia="仿宋_GB2312" w:hAnsi="Times New Roman"/>
                <w:lang w:val="en-US"/>
              </w:rPr>
              <w:t>205</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BA6F4B">
            <w:pPr>
              <w:pStyle w:val="style0"/>
              <w:rPr>
                <w:rFonts w:ascii="Times New Roman" w:cs="Times New Roman" w:eastAsia="仿宋_GB2312" w:hAnsi="Times New Roman"/>
                <w:sz w:val="24"/>
                <w:szCs w:val="24"/>
              </w:rPr>
            </w:pPr>
            <w:r>
              <w:rPr>
                <w:rFonts w:ascii="Times New Roman" w:cs="Times New Roman" w:eastAsia="仿宋_GB2312" w:hAnsi="Times New Roman"/>
              </w:rPr>
              <w:t>　</w:t>
            </w:r>
            <w:r>
              <w:rPr>
                <w:rFonts w:ascii="Times New Roman" w:cs="Times New Roman" w:eastAsia="仿宋_GB2312" w:hAnsi="Times New Roman"/>
                <w:lang w:val="en-US"/>
              </w:rPr>
              <w:t>教育支出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07E51F">
            <w:pPr>
              <w:pStyle w:val="style0"/>
              <w:jc w:val="right"/>
              <w:rPr>
                <w:rFonts w:ascii="Times New Roman" w:cs="Times New Roman" w:eastAsia="仿宋_GB2312" w:hAnsi="Times New Roman"/>
                <w:sz w:val="24"/>
                <w:szCs w:val="24"/>
              </w:rPr>
            </w:pPr>
            <w:r>
              <w:rPr>
                <w:rFonts w:ascii="Times New Roman" w:cs="Times New Roman" w:eastAsia="仿宋_GB2312" w:hAnsi="Times New Roman"/>
                <w:lang w:val="en-US"/>
              </w:rPr>
              <w:t>40.4</w:t>
            </w: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CBA3C2">
            <w:pPr>
              <w:pStyle w:val="style0"/>
              <w:jc w:val="right"/>
              <w:rPr>
                <w:rFonts w:ascii="Times New Roman" w:cs="Times New Roman" w:eastAsia="仿宋_GB2312" w:hAnsi="Times New Roman"/>
                <w:sz w:val="24"/>
                <w:szCs w:val="24"/>
              </w:rPr>
            </w:pPr>
            <w:r>
              <w:rPr>
                <w:rFonts w:ascii="Times New Roman" w:cs="Times New Roman" w:eastAsia="仿宋_GB2312" w:hAnsi="Times New Roman"/>
                <w:lang w:val="en-US"/>
              </w:rPr>
              <w:t>40.4</w:t>
            </w: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8D277B95">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73A7F7">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DDF038">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87861A82">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8DBA168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1836EFDA">
        <w:tblPrEx/>
        <w:trPr>
          <w:trHeight w:val="450" w:hRule="atLeast"/>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8D958785">
            <w:pPr>
              <w:pStyle w:val="style0"/>
              <w:rPr>
                <w:rFonts w:ascii="Times New Roman" w:cs="Times New Roman" w:eastAsia="仿宋_GB2312" w:hAnsi="Times New Roman"/>
                <w:sz w:val="24"/>
                <w:szCs w:val="24"/>
              </w:rPr>
            </w:pPr>
            <w:r>
              <w:rPr>
                <w:rFonts w:ascii="Times New Roman" w:cs="Times New Roman" w:eastAsia="仿宋_GB2312" w:hAnsi="Times New Roman"/>
              </w:rPr>
              <w:t>　</w:t>
            </w:r>
            <w:r>
              <w:rPr>
                <w:rFonts w:ascii="Times New Roman" w:cs="Times New Roman" w:eastAsia="仿宋_GB2312" w:hAnsi="Times New Roman"/>
                <w:lang w:val="en-US"/>
              </w:rPr>
              <w:t>20502</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A3177158">
            <w:pPr>
              <w:pStyle w:val="style0"/>
              <w:rPr>
                <w:rFonts w:ascii="Times New Roman" w:cs="Times New Roman" w:eastAsia="仿宋_GB2312" w:hAnsi="Times New Roman"/>
                <w:sz w:val="24"/>
                <w:szCs w:val="24"/>
              </w:rPr>
            </w:pPr>
            <w:r>
              <w:rPr>
                <w:rFonts w:ascii="Times New Roman" w:cs="Times New Roman" w:eastAsia="仿宋_GB2312" w:hAnsi="Times New Roman"/>
              </w:rPr>
              <w:t>　</w:t>
            </w:r>
            <w:r>
              <w:rPr>
                <w:rFonts w:ascii="Times New Roman" w:cs="Times New Roman" w:eastAsia="仿宋_GB2312" w:hAnsi="Times New Roman"/>
                <w:lang w:val="en-US"/>
              </w:rPr>
              <w:t>普通教育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13C703">
            <w:pPr>
              <w:pStyle w:val="style0"/>
              <w:jc w:val="right"/>
              <w:rPr>
                <w:rFonts w:ascii="Times New Roman" w:cs="Times New Roman" w:eastAsia="仿宋_GB2312" w:hAnsi="Times New Roman"/>
                <w:sz w:val="24"/>
                <w:szCs w:val="24"/>
              </w:rPr>
            </w:pPr>
            <w:r>
              <w:rPr>
                <w:rFonts w:ascii="Times New Roman" w:cs="Times New Roman" w:eastAsia="仿宋_GB2312" w:hAnsi="Times New Roman"/>
                <w:lang w:val="en-US"/>
              </w:rPr>
              <w:t>40.4</w:t>
            </w: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8D09125B">
            <w:pPr>
              <w:pStyle w:val="style0"/>
              <w:jc w:val="right"/>
              <w:rPr>
                <w:rFonts w:ascii="Times New Roman" w:cs="Times New Roman" w:eastAsia="仿宋_GB2312" w:hAnsi="Times New Roman"/>
                <w:sz w:val="24"/>
                <w:szCs w:val="24"/>
              </w:rPr>
            </w:pPr>
            <w:r>
              <w:rPr>
                <w:rFonts w:ascii="Times New Roman" w:cs="Times New Roman" w:eastAsia="仿宋_GB2312" w:hAnsi="Times New Roman"/>
                <w:lang w:val="en-US"/>
              </w:rPr>
              <w:t>40.4</w:t>
            </w: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FF3681">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4A73B5">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FBB6A2">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CA85CF5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8894190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F09BDB1B">
        <w:tblPrEx/>
        <w:trPr>
          <w:trHeight w:val="450" w:hRule="atLeast"/>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C1C3F9F">
            <w:pPr>
              <w:pStyle w:val="style0"/>
              <w:rPr>
                <w:rFonts w:ascii="Times New Roman" w:cs="Times New Roman" w:eastAsia="仿宋_GB2312" w:hAnsi="Times New Roman"/>
                <w:sz w:val="24"/>
                <w:szCs w:val="24"/>
              </w:rPr>
            </w:pPr>
            <w:r>
              <w:rPr>
                <w:rFonts w:ascii="Times New Roman" w:cs="Times New Roman" w:eastAsia="仿宋_GB2312" w:hAnsi="Times New Roman"/>
              </w:rPr>
              <w:t>　</w:t>
            </w:r>
            <w:r>
              <w:rPr>
                <w:rFonts w:ascii="Times New Roman" w:cs="Times New Roman" w:eastAsia="仿宋_GB2312" w:hAnsi="Times New Roman"/>
                <w:lang w:val="en-US"/>
              </w:rPr>
              <w:t>2050201</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C6D550">
            <w:pPr>
              <w:pStyle w:val="style0"/>
              <w:rPr>
                <w:rFonts w:ascii="Times New Roman" w:cs="Times New Roman" w:eastAsia="仿宋_GB2312" w:hAnsi="Times New Roman"/>
                <w:sz w:val="24"/>
                <w:szCs w:val="24"/>
              </w:rPr>
            </w:pPr>
            <w:r>
              <w:rPr>
                <w:rFonts w:ascii="Times New Roman" w:cs="Times New Roman" w:eastAsia="仿宋_GB2312" w:hAnsi="Times New Roman"/>
              </w:rPr>
              <w:t>　</w:t>
            </w:r>
            <w:r>
              <w:rPr>
                <w:rFonts w:ascii="Times New Roman" w:cs="Times New Roman" w:eastAsia="仿宋_GB2312" w:hAnsi="Times New Roman"/>
                <w:lang w:val="en-US"/>
              </w:rPr>
              <w:t>学前教育</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A38243F6">
            <w:pPr>
              <w:pStyle w:val="style0"/>
              <w:jc w:val="right"/>
              <w:rPr>
                <w:rFonts w:ascii="Times New Roman" w:cs="Times New Roman" w:eastAsia="仿宋_GB2312" w:hAnsi="Times New Roman"/>
                <w:sz w:val="24"/>
                <w:szCs w:val="24"/>
              </w:rPr>
            </w:pPr>
            <w:r>
              <w:rPr>
                <w:rFonts w:ascii="Times New Roman" w:cs="Times New Roman" w:eastAsia="仿宋_GB2312" w:hAnsi="Times New Roman"/>
                <w:lang w:val="en-US"/>
              </w:rPr>
              <w:t>40.4</w:t>
            </w: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E3BF0C8">
            <w:pPr>
              <w:pStyle w:val="style0"/>
              <w:jc w:val="right"/>
              <w:rPr>
                <w:rFonts w:ascii="Times New Roman" w:cs="Times New Roman" w:eastAsia="仿宋_GB2312" w:hAnsi="Times New Roman"/>
                <w:sz w:val="24"/>
                <w:szCs w:val="24"/>
              </w:rPr>
            </w:pPr>
            <w:r>
              <w:rPr>
                <w:rFonts w:ascii="Times New Roman" w:cs="Times New Roman" w:eastAsia="仿宋_GB2312" w:hAnsi="Times New Roman"/>
                <w:lang w:val="en-US"/>
              </w:rPr>
              <w:t>40.4</w:t>
            </w: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A9FEDE57">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D5D57C">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958E68B5">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9131C933">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9FE14A0">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A11F48BE">
        <w:tblPrEx/>
        <w:trPr>
          <w:trHeight w:val="450" w:hRule="atLeast"/>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E401F76">
            <w:pPr>
              <w:pStyle w:val="style0"/>
              <w:rPr>
                <w:rFonts w:ascii="Times New Roman" w:cs="Times New Roman" w:eastAsia="仿宋_GB2312" w:hAnsi="Times New Roman"/>
                <w:sz w:val="24"/>
                <w:szCs w:val="24"/>
              </w:rPr>
            </w:pPr>
            <w:r>
              <w:rPr>
                <w:rFonts w:ascii="Times New Roman" w:cs="Times New Roman" w:eastAsia="仿宋_GB2312" w:hAnsi="Times New Roman"/>
              </w:rPr>
              <w:t>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DA4A5C62">
            <w:pPr>
              <w:pStyle w:val="style0"/>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7AEE086">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BC88D18A">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D452F70">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FC7F54">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933D042F">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C48B76">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1B3181F">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98E69D74">
        <w:tblPrEx/>
        <w:trPr>
          <w:trHeight w:val="450" w:hRule="atLeast"/>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CF1B7C16">
            <w:pPr>
              <w:pStyle w:val="style0"/>
              <w:rPr>
                <w:rFonts w:ascii="Times New Roman" w:cs="Times New Roman" w:eastAsia="仿宋_GB2312" w:hAnsi="Times New Roman"/>
                <w:sz w:val="24"/>
                <w:szCs w:val="24"/>
              </w:rPr>
            </w:pPr>
            <w:r>
              <w:rPr>
                <w:rFonts w:ascii="Times New Roman" w:cs="Times New Roman" w:eastAsia="仿宋_GB2312" w:hAnsi="Times New Roman"/>
              </w:rPr>
              <w:t>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CED295">
            <w:pPr>
              <w:pStyle w:val="style0"/>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697412B">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D2F375">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DE5871B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D36C16">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8D4DBF">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AAD48B">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8630D6D3">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3ABBAF22">
        <w:tblPrEx/>
        <w:trPr>
          <w:trHeight w:val="450" w:hRule="atLeast"/>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87D4F343">
            <w:pPr>
              <w:pStyle w:val="style0"/>
              <w:rPr>
                <w:rFonts w:ascii="Times New Roman" w:cs="Times New Roman" w:eastAsia="仿宋_GB2312" w:hAnsi="Times New Roman"/>
                <w:sz w:val="24"/>
                <w:szCs w:val="24"/>
              </w:rPr>
            </w:pPr>
            <w:r>
              <w:rPr>
                <w:rFonts w:ascii="Times New Roman" w:cs="Times New Roman" w:eastAsia="仿宋_GB2312" w:hAnsi="Times New Roman"/>
              </w:rPr>
              <w:t>　</w:t>
            </w:r>
          </w:p>
        </w:tc>
        <w:tc>
          <w:tcPr>
            <w:tcW w:w="13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8E7376C9">
            <w:pPr>
              <w:pStyle w:val="style0"/>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E0B518">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AEC3F7">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A866EAFA">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F2C9F0">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9D8577">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A4811879">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9276211A">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bl>
    <w:p w14:paraId="F77E91BE">
      <w:pPr>
        <w:pStyle w:val="style0"/>
        <w:spacing w:before="120"/>
        <w:rPr>
          <w:rFonts w:ascii="Times New Roman" w:cs="Times New Roman" w:eastAsia="仿宋_GB2312" w:hAnsi="Times New Roman"/>
          <w:sz w:val="24"/>
          <w:szCs w:val="24"/>
        </w:rPr>
      </w:pPr>
      <w:r>
        <w:rPr>
          <w:rFonts w:ascii="Times New Roman" w:cs="Times New Roman" w:eastAsia="仿宋_GB2312" w:hAnsi="Times New Roman"/>
        </w:rPr>
        <w:t>注：本表反映部门本年度取得的各项收入情况。</w:t>
      </w:r>
    </w:p>
    <w:p w14:paraId="BE8CFE35">
      <w:pPr>
        <w:pStyle w:val="style0"/>
        <w:widowControl/>
        <w:jc w:val="left"/>
        <w:rPr>
          <w:rFonts w:ascii="Times New Roman" w:cs="Times New Roman" w:eastAsia="黑体" w:hAnsi="Times New Roman"/>
          <w:bCs/>
          <w:kern w:val="0"/>
          <w:sz w:val="32"/>
          <w:szCs w:val="32"/>
        </w:rPr>
      </w:pPr>
      <w:r>
        <w:rPr>
          <w:rFonts w:ascii="Times New Roman" w:cs="Times New Roman" w:eastAsia="黑体" w:hAnsi="Times New Roman"/>
          <w:bCs/>
          <w:kern w:val="0"/>
          <w:sz w:val="32"/>
          <w:szCs w:val="32"/>
        </w:rPr>
        <w:t xml:space="preserve"> </w:t>
      </w:r>
      <w:r>
        <w:rPr>
          <w:rFonts w:ascii="Times New Roman" w:cs="Times New Roman" w:eastAsia="黑体" w:hAnsi="Times New Roman"/>
          <w:bCs/>
          <w:kern w:val="0"/>
          <w:sz w:val="32"/>
          <w:szCs w:val="32"/>
        </w:rPr>
        <w:br w:type="page"/>
      </w:r>
    </w:p>
    <w:p w14:paraId="5CA75DD8">
      <w:pPr>
        <w:pStyle w:val="style0"/>
        <w:widowControl/>
        <w:jc w:val="center"/>
        <w:textAlignment w:val="center"/>
        <w:rPr>
          <w:rFonts w:ascii="Times New Roman" w:cs="Times New Roman" w:eastAsia="黑体" w:hAnsi="Times New Roman"/>
          <w:color w:val="000000"/>
          <w:kern w:val="0"/>
          <w:sz w:val="32"/>
          <w:szCs w:val="32"/>
        </w:rPr>
      </w:pPr>
    </w:p>
    <w:p w14:paraId="AD0A4A8C">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支出决算表</w:t>
      </w:r>
    </w:p>
    <w:p w14:paraId="3B818FED">
      <w:pPr>
        <w:pStyle w:val="style0"/>
        <w:widowControl/>
        <w:tabs>
          <w:tab w:val="left" w:leader="none" w:pos="1236"/>
          <w:tab w:val="left" w:leader="none" w:pos="1499"/>
          <w:tab w:val="left" w:leader="none" w:pos="2980"/>
          <w:tab w:val="left" w:leader="none" w:pos="4932"/>
          <w:tab w:val="left" w:leader="none" w:pos="6923"/>
          <w:tab w:val="left" w:leader="none" w:pos="8914"/>
          <w:tab w:val="left" w:leader="none" w:pos="10905"/>
          <w:tab w:val="left" w:leader="none" w:pos="12896"/>
        </w:tabs>
        <w:jc w:val="right"/>
        <w:rPr>
          <w:rFonts w:ascii="Times New Roman" w:cs="Times New Roman" w:eastAsia="仿宋_GB2312" w:hAnsi="Times New Roman"/>
          <w:color w:val="000000"/>
          <w:kern w:val="0"/>
          <w:sz w:val="20"/>
          <w:szCs w:val="20"/>
        </w:rPr>
      </w:pP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color w:val="000000"/>
          <w:kern w:val="0"/>
          <w:sz w:val="20"/>
          <w:szCs w:val="20"/>
        </w:rPr>
        <w:t>公开</w:t>
      </w:r>
      <w:r>
        <w:rPr>
          <w:rFonts w:ascii="Times New Roman" w:cs="Times New Roman" w:eastAsia="仿宋_GB2312" w:hAnsi="Times New Roman"/>
          <w:color w:val="000000"/>
          <w:kern w:val="0"/>
          <w:sz w:val="20"/>
          <w:szCs w:val="20"/>
        </w:rPr>
        <w:t>03</w:t>
      </w:r>
      <w:r>
        <w:rPr>
          <w:rFonts w:ascii="Times New Roman" w:cs="Times New Roman" w:eastAsia="仿宋_GB2312" w:hAnsi="Times New Roman"/>
          <w:color w:val="000000"/>
          <w:kern w:val="0"/>
          <w:sz w:val="20"/>
          <w:szCs w:val="20"/>
        </w:rPr>
        <w:t>表</w:t>
      </w:r>
    </w:p>
    <w:p w14:paraId="FE59163F">
      <w:pPr>
        <w:pStyle w:val="style0"/>
        <w:widowControl/>
        <w:tabs>
          <w:tab w:val="left" w:leader="none" w:pos="1236"/>
          <w:tab w:val="left" w:leader="none" w:pos="1499"/>
          <w:tab w:val="left" w:leader="none" w:pos="2980"/>
          <w:tab w:val="left" w:leader="none" w:pos="4932"/>
          <w:tab w:val="left" w:leader="none" w:pos="6923"/>
          <w:tab w:val="left" w:leader="none" w:pos="8914"/>
          <w:tab w:val="left" w:leader="none" w:pos="10905"/>
          <w:tab w:val="left" w:leader="none" w:pos="12896"/>
        </w:tabs>
        <w:jc w:val="right"/>
        <w:rPr>
          <w:rFonts w:ascii="Times New Roman" w:cs="Times New Roman" w:eastAsia="仿宋_GB2312" w:hAnsi="Times New Roman"/>
          <w:color w:val="000000"/>
          <w:kern w:val="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color w:val="000000"/>
          <w:kern w:val="0"/>
          <w:sz w:val="20"/>
          <w:szCs w:val="20"/>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color w:val="000000"/>
          <w:kern w:val="0"/>
          <w:sz w:val="20"/>
          <w:szCs w:val="20"/>
        </w:rPr>
        <w:t>　</w:t>
      </w:r>
      <w:r>
        <w:rPr>
          <w:rFonts w:ascii="Times New Roman" w:cs="Times New Roman" w:eastAsia="仿宋_GB2312" w:hAnsi="Times New Roman"/>
          <w:color w:val="000000"/>
          <w:kern w:val="0"/>
          <w:sz w:val="20"/>
          <w:szCs w:val="20"/>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color w:val="000000"/>
          <w:kern w:val="0"/>
          <w:sz w:val="20"/>
          <w:szCs w:val="20"/>
        </w:rPr>
        <w:t>单位：万元</w:t>
      </w:r>
    </w:p>
    <w:tbl>
      <w:tblPr>
        <w:tblW w:w="4998" w:type="pct"/>
        <w:jc w:val="center"/>
        <w:tblLook w:val="04A0" w:firstRow="1" w:lastRow="0" w:firstColumn="1" w:lastColumn="0" w:noHBand="0" w:noVBand="1"/>
      </w:tblPr>
      <w:tblGrid>
        <w:gridCol w:w="2380"/>
        <w:gridCol w:w="1310"/>
        <w:gridCol w:w="1844"/>
        <w:gridCol w:w="1310"/>
        <w:gridCol w:w="1310"/>
        <w:gridCol w:w="1844"/>
        <w:gridCol w:w="1310"/>
        <w:gridCol w:w="2648"/>
      </w:tblGrid>
      <w:tr w14:paraId="439921EB">
        <w:trPr>
          <w:trHeight w:val="595" w:hRule="atLeast"/>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14D162">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项</w:t>
            </w:r>
            <w:r>
              <w:rPr>
                <w:rFonts w:ascii="Times New Roman" w:cs="Times New Roman" w:eastAsia="仿宋_GB2312" w:hAnsi="Times New Roman"/>
                <w:b/>
                <w:bCs/>
                <w:kern w:val="0"/>
                <w:sz w:val="24"/>
                <w:szCs w:val="24"/>
              </w:rPr>
              <w:t xml:space="preserve">    </w:t>
            </w:r>
            <w:r>
              <w:rPr>
                <w:rFonts w:ascii="Times New Roman" w:cs="Times New Roman" w:eastAsia="仿宋_GB2312" w:hAnsi="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DA526C9C">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B8124A1D">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FCDE190F">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87CE7E9A">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99B1A306">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33553E1">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对附属单位补助支出</w:t>
            </w:r>
          </w:p>
        </w:tc>
      </w:tr>
      <w:tr w14:paraId="F04DA423">
        <w:tblPrEx/>
        <w:trPr>
          <w:trHeight w:val="312" w:hRule="exact"/>
          <w:jc w:val="center"/>
        </w:trPr>
        <w:tc>
          <w:tcPr>
            <w:tcW w:w="8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8C7EC658">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功能分类科目编码</w:t>
            </w:r>
          </w:p>
        </w:tc>
        <w:tc>
          <w:tcPr>
            <w:tcW w:w="469" w:type="pct"/>
            <w:vMerge w:val="restart"/>
            <w:tcBorders>
              <w:top w:val="nil"/>
              <w:left w:val="single" w:sz="4" w:space="0" w:color="auto"/>
              <w:bottom w:val="single" w:sz="4" w:space="0" w:color="auto"/>
              <w:right w:val="single" w:sz="4" w:space="0" w:color="auto"/>
            </w:tcBorders>
            <w:shd w:val="clear" w:color="000000" w:fill="ffffff"/>
            <w:vAlign w:val="center"/>
          </w:tcPr>
          <w:p w14:paraId="676145F1">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科目名称</w:t>
            </w:r>
          </w:p>
        </w:tc>
        <w:tc>
          <w:tcPr>
            <w:tcW w:w="660" w:type="pct"/>
            <w:vMerge w:val="continue"/>
            <w:tcBorders>
              <w:top w:val="single" w:sz="4" w:space="0" w:color="auto"/>
              <w:left w:val="single" w:sz="4" w:space="0" w:color="auto"/>
              <w:bottom w:val="single" w:sz="4" w:space="0" w:color="auto"/>
              <w:right w:val="single" w:sz="4" w:space="0" w:color="auto"/>
            </w:tcBorders>
            <w:vAlign w:val="center"/>
          </w:tcPr>
          <w:p w14:paraId="BEA526A4">
            <w:pPr>
              <w:pStyle w:val="style0"/>
              <w:widowControl/>
              <w:jc w:val="left"/>
              <w:rPr>
                <w:rFonts w:ascii="Times New Roman" w:cs="Times New Roman" w:eastAsia="仿宋_GB2312" w:hAnsi="Times New Roman"/>
                <w:b/>
                <w:bCs/>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A475775F">
            <w:pPr>
              <w:pStyle w:val="style0"/>
              <w:widowControl/>
              <w:jc w:val="left"/>
              <w:rPr>
                <w:rFonts w:ascii="Times New Roman" w:cs="Times New Roman" w:eastAsia="仿宋_GB2312" w:hAnsi="Times New Roman"/>
                <w:b/>
                <w:bCs/>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A3DF046F">
            <w:pPr>
              <w:pStyle w:val="style0"/>
              <w:widowControl/>
              <w:jc w:val="left"/>
              <w:rPr>
                <w:rFonts w:ascii="Times New Roman" w:cs="Times New Roman" w:eastAsia="仿宋_GB2312" w:hAnsi="Times New Roman"/>
                <w:b/>
                <w:bCs/>
                <w:kern w:val="0"/>
                <w:sz w:val="24"/>
                <w:szCs w:val="24"/>
              </w:rPr>
            </w:pPr>
          </w:p>
        </w:tc>
        <w:tc>
          <w:tcPr>
            <w:tcW w:w="660" w:type="pct"/>
            <w:vMerge w:val="continue"/>
            <w:tcBorders>
              <w:top w:val="single" w:sz="4" w:space="0" w:color="auto"/>
              <w:left w:val="single" w:sz="4" w:space="0" w:color="auto"/>
              <w:bottom w:val="single" w:sz="4" w:space="0" w:color="auto"/>
              <w:right w:val="single" w:sz="4" w:space="0" w:color="auto"/>
            </w:tcBorders>
            <w:vAlign w:val="center"/>
          </w:tcPr>
          <w:p w14:paraId="F68A0601">
            <w:pPr>
              <w:pStyle w:val="style0"/>
              <w:widowControl/>
              <w:jc w:val="left"/>
              <w:rPr>
                <w:rFonts w:ascii="Times New Roman" w:cs="Times New Roman" w:eastAsia="仿宋_GB2312" w:hAnsi="Times New Roman"/>
                <w:b/>
                <w:bCs/>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5FAF9D0B">
            <w:pPr>
              <w:pStyle w:val="style0"/>
              <w:widowControl/>
              <w:jc w:val="left"/>
              <w:rPr>
                <w:rFonts w:ascii="Times New Roman" w:cs="Times New Roman" w:eastAsia="仿宋_GB2312" w:hAnsi="Times New Roman"/>
                <w:b/>
                <w:bCs/>
                <w:kern w:val="0"/>
                <w:sz w:val="24"/>
                <w:szCs w:val="24"/>
              </w:rPr>
            </w:pPr>
          </w:p>
        </w:tc>
        <w:tc>
          <w:tcPr>
            <w:tcW w:w="948" w:type="pct"/>
            <w:vMerge w:val="continue"/>
            <w:tcBorders>
              <w:top w:val="single" w:sz="4" w:space="0" w:color="auto"/>
              <w:left w:val="single" w:sz="4" w:space="0" w:color="auto"/>
              <w:bottom w:val="single" w:sz="4" w:space="0" w:color="auto"/>
              <w:right w:val="single" w:sz="4" w:space="0" w:color="auto"/>
            </w:tcBorders>
            <w:vAlign w:val="center"/>
          </w:tcPr>
          <w:p w14:paraId="D84C4517">
            <w:pPr>
              <w:pStyle w:val="style0"/>
              <w:widowControl/>
              <w:jc w:val="left"/>
              <w:rPr>
                <w:rFonts w:ascii="Times New Roman" w:cs="Times New Roman" w:eastAsia="仿宋_GB2312" w:hAnsi="Times New Roman"/>
                <w:b/>
                <w:bCs/>
                <w:kern w:val="0"/>
                <w:sz w:val="24"/>
                <w:szCs w:val="24"/>
              </w:rPr>
            </w:pPr>
          </w:p>
        </w:tc>
      </w:tr>
      <w:tr w14:paraId="F460CF27">
        <w:tblPrEx/>
        <w:trPr>
          <w:trHeight w:val="595" w:hRule="atLeast"/>
          <w:jc w:val="center"/>
        </w:trPr>
        <w:tc>
          <w:tcPr>
            <w:tcW w:w="852" w:type="pct"/>
            <w:vMerge w:val="continue"/>
            <w:tcBorders>
              <w:top w:val="single" w:sz="4" w:space="0" w:color="auto"/>
              <w:left w:val="single" w:sz="4" w:space="0" w:color="auto"/>
              <w:bottom w:val="single" w:sz="4" w:space="0" w:color="auto"/>
              <w:right w:val="single" w:sz="4" w:space="0" w:color="auto"/>
            </w:tcBorders>
            <w:vAlign w:val="center"/>
          </w:tcPr>
          <w:p w14:paraId="B35C49C8">
            <w:pPr>
              <w:pStyle w:val="style0"/>
              <w:widowControl/>
              <w:jc w:val="left"/>
              <w:rPr>
                <w:rFonts w:ascii="Times New Roman" w:cs="Times New Roman" w:eastAsia="仿宋_GB2312" w:hAnsi="Times New Roman"/>
                <w:kern w:val="0"/>
                <w:sz w:val="24"/>
                <w:szCs w:val="24"/>
              </w:rPr>
            </w:pPr>
          </w:p>
        </w:tc>
        <w:tc>
          <w:tcPr>
            <w:tcW w:w="469" w:type="pct"/>
            <w:vMerge w:val="continue"/>
            <w:tcBorders>
              <w:top w:val="nil"/>
              <w:left w:val="single" w:sz="4" w:space="0" w:color="auto"/>
              <w:bottom w:val="single" w:sz="4" w:space="0" w:color="auto"/>
              <w:right w:val="single" w:sz="4" w:space="0" w:color="auto"/>
            </w:tcBorders>
            <w:vAlign w:val="center"/>
          </w:tcPr>
          <w:p w14:paraId="AB62D93F">
            <w:pPr>
              <w:pStyle w:val="style0"/>
              <w:widowControl/>
              <w:jc w:val="left"/>
              <w:rPr>
                <w:rFonts w:ascii="Times New Roman" w:cs="Times New Roman" w:eastAsia="仿宋_GB2312" w:hAnsi="Times New Roman"/>
                <w:kern w:val="0"/>
                <w:sz w:val="24"/>
                <w:szCs w:val="24"/>
              </w:rPr>
            </w:pPr>
          </w:p>
        </w:tc>
        <w:tc>
          <w:tcPr>
            <w:tcW w:w="660" w:type="pct"/>
            <w:vMerge w:val="continue"/>
            <w:tcBorders>
              <w:top w:val="single" w:sz="4" w:space="0" w:color="auto"/>
              <w:left w:val="single" w:sz="4" w:space="0" w:color="auto"/>
              <w:bottom w:val="single" w:sz="4" w:space="0" w:color="auto"/>
              <w:right w:val="single" w:sz="4" w:space="0" w:color="auto"/>
            </w:tcBorders>
            <w:vAlign w:val="center"/>
          </w:tcPr>
          <w:p w14:paraId="57694FA0">
            <w:pPr>
              <w:pStyle w:val="style0"/>
              <w:widowControl/>
              <w:jc w:val="left"/>
              <w:rPr>
                <w:rFonts w:ascii="Times New Roman" w:cs="Times New Roman" w:eastAsia="仿宋_GB2312" w:hAnsi="Times New Roman"/>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2775C801">
            <w:pPr>
              <w:pStyle w:val="style0"/>
              <w:widowControl/>
              <w:jc w:val="left"/>
              <w:rPr>
                <w:rFonts w:ascii="Times New Roman" w:cs="Times New Roman" w:eastAsia="仿宋_GB2312" w:hAnsi="Times New Roman"/>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318CE163">
            <w:pPr>
              <w:pStyle w:val="style0"/>
              <w:widowControl/>
              <w:jc w:val="left"/>
              <w:rPr>
                <w:rFonts w:ascii="Times New Roman" w:cs="Times New Roman" w:eastAsia="仿宋_GB2312" w:hAnsi="Times New Roman"/>
                <w:kern w:val="0"/>
                <w:sz w:val="24"/>
                <w:szCs w:val="24"/>
              </w:rPr>
            </w:pPr>
          </w:p>
        </w:tc>
        <w:tc>
          <w:tcPr>
            <w:tcW w:w="660" w:type="pct"/>
            <w:vMerge w:val="continue"/>
            <w:tcBorders>
              <w:top w:val="single" w:sz="4" w:space="0" w:color="auto"/>
              <w:left w:val="single" w:sz="4" w:space="0" w:color="auto"/>
              <w:bottom w:val="single" w:sz="4" w:space="0" w:color="auto"/>
              <w:right w:val="single" w:sz="4" w:space="0" w:color="auto"/>
            </w:tcBorders>
            <w:vAlign w:val="center"/>
          </w:tcPr>
          <w:p w14:paraId="07D82C58">
            <w:pPr>
              <w:pStyle w:val="style0"/>
              <w:widowControl/>
              <w:jc w:val="left"/>
              <w:rPr>
                <w:rFonts w:ascii="Times New Roman" w:cs="Times New Roman" w:eastAsia="仿宋_GB2312" w:hAnsi="Times New Roman"/>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8111038F">
            <w:pPr>
              <w:pStyle w:val="style0"/>
              <w:widowControl/>
              <w:jc w:val="left"/>
              <w:rPr>
                <w:rFonts w:ascii="Times New Roman" w:cs="Times New Roman" w:eastAsia="仿宋_GB2312" w:hAnsi="Times New Roman"/>
                <w:kern w:val="0"/>
                <w:sz w:val="24"/>
                <w:szCs w:val="24"/>
              </w:rPr>
            </w:pPr>
          </w:p>
        </w:tc>
        <w:tc>
          <w:tcPr>
            <w:tcW w:w="948" w:type="pct"/>
            <w:vMerge w:val="continue"/>
            <w:tcBorders>
              <w:top w:val="single" w:sz="4" w:space="0" w:color="auto"/>
              <w:left w:val="single" w:sz="4" w:space="0" w:color="auto"/>
              <w:bottom w:val="single" w:sz="4" w:space="0" w:color="auto"/>
              <w:right w:val="single" w:sz="4" w:space="0" w:color="auto"/>
            </w:tcBorders>
            <w:vAlign w:val="center"/>
          </w:tcPr>
          <w:p w14:paraId="82106EF7">
            <w:pPr>
              <w:pStyle w:val="style0"/>
              <w:widowControl/>
              <w:jc w:val="left"/>
              <w:rPr>
                <w:rFonts w:ascii="Times New Roman" w:cs="Times New Roman" w:eastAsia="仿宋_GB2312" w:hAnsi="Times New Roman"/>
                <w:kern w:val="0"/>
                <w:sz w:val="24"/>
                <w:szCs w:val="24"/>
              </w:rPr>
            </w:pPr>
          </w:p>
        </w:tc>
      </w:tr>
      <w:tr w14:paraId="D467D6EF">
        <w:tblPrEx/>
        <w:trPr>
          <w:trHeight w:val="595" w:hRule="atLeast"/>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D87F091C">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14:paraId="6B28E651">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14:paraId="E0B659D9">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14:paraId="0867810A">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14:paraId="22D34CBA">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14:paraId="AD9EEF17">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5</w:t>
            </w:r>
          </w:p>
        </w:tc>
        <w:tc>
          <w:tcPr>
            <w:tcW w:w="948" w:type="pct"/>
            <w:tcBorders>
              <w:top w:val="nil"/>
              <w:left w:val="nil"/>
              <w:bottom w:val="single" w:sz="4" w:space="0" w:color="auto"/>
              <w:right w:val="single" w:sz="4" w:space="0" w:color="auto"/>
            </w:tcBorders>
            <w:shd w:val="clear" w:color="000000" w:fill="ffffff"/>
            <w:noWrap/>
            <w:vAlign w:val="center"/>
          </w:tcPr>
          <w:p w14:paraId="1099629D">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6</w:t>
            </w:r>
          </w:p>
        </w:tc>
      </w:tr>
      <w:tr w14:paraId="0E729783">
        <w:tblPrEx/>
        <w:trPr>
          <w:trHeight w:val="595" w:hRule="atLeast"/>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D11ED13B">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合计</w:t>
            </w:r>
          </w:p>
        </w:tc>
        <w:tc>
          <w:tcPr>
            <w:tcW w:w="660" w:type="pct"/>
            <w:tcBorders>
              <w:top w:val="nil"/>
              <w:left w:val="nil"/>
              <w:bottom w:val="single" w:sz="4" w:space="0" w:color="auto"/>
              <w:right w:val="single" w:sz="4" w:space="0" w:color="auto"/>
            </w:tcBorders>
            <w:shd w:val="clear" w:color="auto" w:fill="auto"/>
            <w:noWrap/>
            <w:vAlign w:val="center"/>
          </w:tcPr>
          <w:p w14:paraId="3302FB97">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40.4</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8ADA4AFD">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29.26</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A7433755">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11.13</w:t>
            </w: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F01D5C5E">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1672A9DA">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948" w:type="pct"/>
            <w:tcBorders>
              <w:top w:val="nil"/>
              <w:left w:val="nil"/>
              <w:bottom w:val="single" w:sz="4" w:space="0" w:color="auto"/>
              <w:right w:val="single" w:sz="4" w:space="0" w:color="auto"/>
            </w:tcBorders>
            <w:shd w:val="clear" w:color="auto" w:fill="auto"/>
            <w:noWrap/>
            <w:vAlign w:val="center"/>
          </w:tcPr>
          <w:p w14:paraId="173C9EA5">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r>
      <w:tr w14:paraId="BA196B6A">
        <w:tblPrEx/>
        <w:trPr>
          <w:trHeight w:val="595" w:hRule="atLeast"/>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B09412F7">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lang w:val="en-US"/>
              </w:rPr>
              <w:t>205</w:t>
            </w:r>
          </w:p>
        </w:tc>
        <w:tc>
          <w:tcPr>
            <w:tcW w:w="469" w:type="pct"/>
            <w:tcBorders>
              <w:top w:val="nil"/>
              <w:left w:val="nil"/>
              <w:bottom w:val="single" w:sz="4" w:space="0" w:color="auto"/>
              <w:right w:val="single" w:sz="4" w:space="0" w:color="auto"/>
            </w:tcBorders>
            <w:shd w:val="clear" w:color="000000" w:fill="ffffff"/>
            <w:noWrap/>
            <w:vAlign w:val="center"/>
          </w:tcPr>
          <w:p w14:paraId="B73DE898">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教育支出</w:t>
            </w:r>
          </w:p>
        </w:tc>
        <w:tc>
          <w:tcPr>
            <w:tcW w:w="660" w:type="pct"/>
            <w:tcBorders>
              <w:top w:val="nil"/>
              <w:left w:val="nil"/>
              <w:bottom w:val="single" w:sz="4" w:space="0" w:color="auto"/>
              <w:right w:val="single" w:sz="4" w:space="0" w:color="auto"/>
            </w:tcBorders>
            <w:shd w:val="clear" w:color="auto" w:fill="auto"/>
            <w:noWrap/>
            <w:vAlign w:val="center"/>
          </w:tcPr>
          <w:p w14:paraId="7EB87E94">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40.4</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1F4A01C4">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29.26</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79EE2719">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11.13</w:t>
            </w: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96BAA980">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68290AE6">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948" w:type="pct"/>
            <w:tcBorders>
              <w:top w:val="nil"/>
              <w:left w:val="nil"/>
              <w:bottom w:val="single" w:sz="4" w:space="0" w:color="auto"/>
              <w:right w:val="single" w:sz="4" w:space="0" w:color="auto"/>
            </w:tcBorders>
            <w:shd w:val="clear" w:color="auto" w:fill="auto"/>
            <w:noWrap/>
            <w:vAlign w:val="center"/>
          </w:tcPr>
          <w:p w14:paraId="D87B2FCC">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r>
      <w:tr w14:paraId="82D106DB">
        <w:tblPrEx/>
        <w:trPr>
          <w:trHeight w:val="595" w:hRule="atLeast"/>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D60FEB22">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lang w:val="en-US"/>
              </w:rPr>
              <w:t>20502</w:t>
            </w:r>
          </w:p>
        </w:tc>
        <w:tc>
          <w:tcPr>
            <w:tcW w:w="469" w:type="pct"/>
            <w:tcBorders>
              <w:top w:val="nil"/>
              <w:left w:val="nil"/>
              <w:bottom w:val="single" w:sz="4" w:space="0" w:color="auto"/>
              <w:right w:val="single" w:sz="4" w:space="0" w:color="auto"/>
            </w:tcBorders>
            <w:shd w:val="clear" w:color="000000" w:fill="ffffff"/>
            <w:noWrap/>
            <w:vAlign w:val="center"/>
          </w:tcPr>
          <w:p w14:paraId="472D6981">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普通教育</w:t>
            </w:r>
          </w:p>
        </w:tc>
        <w:tc>
          <w:tcPr>
            <w:tcW w:w="660" w:type="pct"/>
            <w:tcBorders>
              <w:top w:val="nil"/>
              <w:left w:val="nil"/>
              <w:bottom w:val="single" w:sz="4" w:space="0" w:color="auto"/>
              <w:right w:val="single" w:sz="4" w:space="0" w:color="auto"/>
            </w:tcBorders>
            <w:shd w:val="clear" w:color="auto" w:fill="auto"/>
            <w:noWrap/>
            <w:vAlign w:val="center"/>
          </w:tcPr>
          <w:p w14:paraId="8640C9DF">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40.4</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4B998220">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29.26</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A50BEEEC">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11.13</w:t>
            </w: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9FEF9CAE">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A844A384">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948" w:type="pct"/>
            <w:tcBorders>
              <w:top w:val="nil"/>
              <w:left w:val="nil"/>
              <w:bottom w:val="single" w:sz="4" w:space="0" w:color="auto"/>
              <w:right w:val="single" w:sz="4" w:space="0" w:color="auto"/>
            </w:tcBorders>
            <w:shd w:val="clear" w:color="auto" w:fill="auto"/>
            <w:noWrap/>
            <w:vAlign w:val="center"/>
          </w:tcPr>
          <w:p w14:paraId="E4D7F43D">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r>
      <w:tr w14:paraId="8BD6A4B1">
        <w:tblPrEx/>
        <w:trPr>
          <w:trHeight w:val="595" w:hRule="atLeast"/>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04858">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lang w:val="en-US"/>
              </w:rPr>
              <w:t>2050201</w:t>
            </w:r>
          </w:p>
        </w:tc>
        <w:tc>
          <w:tcPr>
            <w:tcW w:w="469" w:type="pct"/>
            <w:tcBorders>
              <w:top w:val="nil"/>
              <w:left w:val="nil"/>
              <w:bottom w:val="single" w:sz="4" w:space="0" w:color="auto"/>
              <w:right w:val="single" w:sz="4" w:space="0" w:color="auto"/>
            </w:tcBorders>
            <w:shd w:val="clear" w:color="000000" w:fill="ffffff"/>
            <w:noWrap/>
            <w:vAlign w:val="center"/>
          </w:tcPr>
          <w:p w14:paraId="A6F902B0">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学前教育</w:t>
            </w:r>
          </w:p>
        </w:tc>
        <w:tc>
          <w:tcPr>
            <w:tcW w:w="660" w:type="pct"/>
            <w:tcBorders>
              <w:top w:val="nil"/>
              <w:left w:val="nil"/>
              <w:bottom w:val="single" w:sz="4" w:space="0" w:color="auto"/>
              <w:right w:val="single" w:sz="4" w:space="0" w:color="auto"/>
            </w:tcBorders>
            <w:shd w:val="clear" w:color="auto" w:fill="auto"/>
            <w:noWrap/>
            <w:vAlign w:val="center"/>
          </w:tcPr>
          <w:p w14:paraId="74E06868">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40.4</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ED1ADC33">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29.26</w:t>
            </w: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F4D806CF">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lang w:val="en-US"/>
              </w:rPr>
              <w:t>11.13</w:t>
            </w: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86DC5E08">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C2722F18">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948" w:type="pct"/>
            <w:tcBorders>
              <w:top w:val="nil"/>
              <w:left w:val="nil"/>
              <w:bottom w:val="single" w:sz="4" w:space="0" w:color="auto"/>
              <w:right w:val="single" w:sz="4" w:space="0" w:color="auto"/>
            </w:tcBorders>
            <w:shd w:val="clear" w:color="auto" w:fill="auto"/>
            <w:noWrap/>
            <w:vAlign w:val="center"/>
          </w:tcPr>
          <w:p w14:paraId="906B50E4">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r>
      <w:tr w14:paraId="27AB1C7C">
        <w:tblPrEx/>
        <w:trPr>
          <w:trHeight w:val="595" w:hRule="atLeast"/>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896D62">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000000" w:fill="ffffff"/>
            <w:noWrap/>
            <w:vAlign w:val="center"/>
          </w:tcPr>
          <w:p w14:paraId="D3DBCDDE">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4CAC89D0">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AB717D69">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DFC7BF56">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5DFDFC5A">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9AF9CE60">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948" w:type="pct"/>
            <w:tcBorders>
              <w:top w:val="nil"/>
              <w:left w:val="nil"/>
              <w:bottom w:val="single" w:sz="4" w:space="0" w:color="auto"/>
              <w:right w:val="single" w:sz="4" w:space="0" w:color="auto"/>
            </w:tcBorders>
            <w:shd w:val="clear" w:color="auto" w:fill="auto"/>
            <w:noWrap/>
            <w:vAlign w:val="center"/>
          </w:tcPr>
          <w:p w14:paraId="9F5CFC54">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r>
      <w:tr w14:paraId="094501EE">
        <w:tblPrEx/>
        <w:trPr>
          <w:trHeight w:val="595" w:hRule="atLeast"/>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98555273">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000000" w:fill="ffffff"/>
            <w:noWrap/>
            <w:vAlign w:val="center"/>
          </w:tcPr>
          <w:p w14:paraId="03ED21B1">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E02D52BE">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AD717722">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0D5BF048">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1EFD1E5E">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31189E39">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948" w:type="pct"/>
            <w:tcBorders>
              <w:top w:val="nil"/>
              <w:left w:val="nil"/>
              <w:bottom w:val="single" w:sz="4" w:space="0" w:color="auto"/>
              <w:right w:val="single" w:sz="4" w:space="0" w:color="auto"/>
            </w:tcBorders>
            <w:shd w:val="clear" w:color="auto" w:fill="auto"/>
            <w:noWrap/>
            <w:vAlign w:val="center"/>
          </w:tcPr>
          <w:p w14:paraId="E6AEF573">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r>
      <w:tr w14:paraId="FA43571E">
        <w:tblPrEx/>
        <w:trPr>
          <w:trHeight w:val="595" w:hRule="atLeast"/>
          <w:jc w:val="center"/>
        </w:trPr>
        <w:tc>
          <w:tcPr>
            <w:tcW w:w="8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9108783C">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000000" w:fill="ffffff"/>
            <w:noWrap/>
            <w:vAlign w:val="center"/>
          </w:tcPr>
          <w:p w14:paraId="65E75F58">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620C1468">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028BBF2D">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365E7B4D">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660" w:type="pct"/>
            <w:tcBorders>
              <w:top w:val="nil"/>
              <w:left w:val="nil"/>
              <w:bottom w:val="single" w:sz="4" w:space="0" w:color="auto"/>
              <w:right w:val="single" w:sz="4" w:space="0" w:color="auto"/>
            </w:tcBorders>
            <w:shd w:val="clear" w:color="auto" w:fill="auto"/>
            <w:noWrap/>
            <w:vAlign w:val="center"/>
          </w:tcPr>
          <w:p w14:paraId="10382261">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469" w:type="pct"/>
            <w:tcBorders>
              <w:top w:val="nil"/>
              <w:left w:val="nil"/>
              <w:bottom w:val="single" w:sz="4" w:space="0" w:color="auto"/>
              <w:right w:val="single" w:sz="4" w:space="0" w:color="auto"/>
            </w:tcBorders>
            <w:shd w:val="clear" w:color="auto" w:fill="auto"/>
            <w:noWrap/>
            <w:vAlign w:val="center"/>
          </w:tcPr>
          <w:p w14:paraId="25433596">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948" w:type="pct"/>
            <w:tcBorders>
              <w:top w:val="nil"/>
              <w:left w:val="nil"/>
              <w:bottom w:val="single" w:sz="4" w:space="0" w:color="auto"/>
              <w:right w:val="single" w:sz="4" w:space="0" w:color="auto"/>
            </w:tcBorders>
            <w:shd w:val="clear" w:color="auto" w:fill="auto"/>
            <w:noWrap/>
            <w:vAlign w:val="center"/>
          </w:tcPr>
          <w:p w14:paraId="84830527">
            <w:pPr>
              <w:pStyle w:val="style0"/>
              <w:widowControl/>
              <w:jc w:val="righ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r>
    </w:tbl>
    <w:p w14:paraId="E381A57C">
      <w:pPr>
        <w:pStyle w:val="style0"/>
        <w:widowControl/>
        <w:spacing w:before="120"/>
        <w:jc w:val="left"/>
        <w:rPr>
          <w:rFonts w:ascii="Times New Roman" w:cs="Times New Roman" w:eastAsia="方正小标宋_GBK" w:hAnsi="Times New Roman"/>
          <w:color w:val="000000"/>
          <w:kern w:val="0"/>
          <w:sz w:val="36"/>
          <w:szCs w:val="21"/>
        </w:rPr>
      </w:pPr>
      <w:r>
        <w:rPr>
          <w:rFonts w:ascii="Times New Roman" w:cs="Times New Roman" w:eastAsia="仿宋_GB2312" w:hAnsi="Times New Roman"/>
          <w:kern w:val="0"/>
          <w:sz w:val="24"/>
          <w:szCs w:val="24"/>
        </w:rPr>
        <w:t>注：本表反映部门本年度各项支出情况。</w:t>
      </w:r>
    </w:p>
    <w:bookmarkStart w:id="1" w:name="RANGE!A1:I22"/>
    <w:bookmarkStart w:id="2" w:name="RANGE!A1:F16"/>
    <w:bookmarkEnd w:id="1"/>
    <w:p w14:paraId="AE69DF7F">
      <w:pPr>
        <w:pStyle w:val="style0"/>
        <w:widowControl/>
        <w:tabs>
          <w:tab w:val="left" w:leader="none" w:pos="3595"/>
          <w:tab w:val="left" w:leader="none" w:pos="4031"/>
          <w:tab w:val="left" w:leader="none" w:pos="5605"/>
          <w:tab w:val="left" w:leader="none" w:pos="9152"/>
          <w:tab w:val="left" w:leader="none" w:pos="9587"/>
          <w:tab w:val="left" w:leader="none" w:pos="11160"/>
          <w:tab w:val="left" w:leader="none" w:pos="12554"/>
          <w:tab w:val="left" w:leader="none" w:pos="13948"/>
        </w:tabs>
        <w:jc w:val="right"/>
        <w:rPr>
          <w:rFonts w:ascii="Times New Roman" w:cs="Times New Roman" w:eastAsia="宋体" w:hAnsi="Times New Roman"/>
          <w:kern w:val="0"/>
          <w:sz w:val="24"/>
          <w:szCs w:val="24"/>
        </w:rPr>
      </w:pPr>
      <w:r>
        <w:rPr>
          <w:rFonts w:ascii="Times New Roman" w:cs="Times New Roman" w:eastAsia="黑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p>
    <w:p w14:paraId="0C3B8DEB">
      <w:pPr>
        <w:pStyle w:val="style0"/>
        <w:widowControl/>
        <w:spacing w:lineRule="exact" w:line="400"/>
        <w:jc w:val="center"/>
        <w:textAlignment w:val="center"/>
        <w:rPr>
          <w:rFonts w:ascii="Times New Roman" w:cs="Times New Roman" w:eastAsia="黑体" w:hAnsi="Times New Roman"/>
          <w:color w:val="000000"/>
          <w:kern w:val="0"/>
          <w:sz w:val="32"/>
          <w:szCs w:val="32"/>
        </w:rPr>
      </w:pPr>
    </w:p>
    <w:p w14:paraId="AB2DDF4E">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财政拨款收入支出决算总表</w:t>
      </w:r>
    </w:p>
    <w:p w14:paraId="A1E7F761">
      <w:pPr>
        <w:pStyle w:val="style0"/>
        <w:widowControl/>
        <w:tabs>
          <w:tab w:val="left" w:leader="none" w:pos="3595"/>
          <w:tab w:val="left" w:leader="none" w:pos="4031"/>
          <w:tab w:val="left" w:leader="none" w:pos="5109"/>
          <w:tab w:val="left" w:leader="none" w:pos="9152"/>
          <w:tab w:val="left" w:leader="none" w:pos="9587"/>
          <w:tab w:val="left" w:leader="none" w:pos="11160"/>
          <w:tab w:val="left" w:leader="none" w:pos="12554"/>
          <w:tab w:val="left" w:leader="none" w:pos="13948"/>
        </w:tabs>
        <w:jc w:val="center"/>
        <w:rPr>
          <w:rFonts w:ascii="Times New Roman" w:cs="Times New Roman" w:eastAsia="仿宋_GB2312" w:hAnsi="Times New Roman"/>
          <w:color w:val="000000"/>
          <w:kern w:val="0"/>
          <w:sz w:val="20"/>
          <w:szCs w:val="20"/>
        </w:rPr>
      </w:pPr>
      <w:r>
        <w:rPr>
          <w:rFonts w:ascii="Times New Roman" w:cs="Times New Roman" w:eastAsia="仿宋_GB2312" w:hAnsi="Times New Roman"/>
          <w:color w:val="000000"/>
          <w:kern w:val="0"/>
          <w:sz w:val="20"/>
          <w:szCs w:val="20"/>
        </w:rPr>
        <w:t xml:space="preserve">                                                                                                                  </w:t>
      </w:r>
      <w:r>
        <w:rPr>
          <w:rFonts w:ascii="Times New Roman" w:cs="Times New Roman" w:eastAsia="仿宋_GB2312" w:hAnsi="Times New Roman"/>
          <w:color w:val="000000"/>
          <w:kern w:val="0"/>
          <w:sz w:val="20"/>
          <w:szCs w:val="20"/>
        </w:rPr>
        <w:t>公开</w:t>
      </w:r>
      <w:r>
        <w:rPr>
          <w:rFonts w:ascii="Times New Roman" w:cs="Times New Roman" w:eastAsia="仿宋_GB2312" w:hAnsi="Times New Roman"/>
          <w:color w:val="000000"/>
          <w:kern w:val="0"/>
          <w:sz w:val="20"/>
          <w:szCs w:val="20"/>
        </w:rPr>
        <w:t>04</w:t>
      </w:r>
      <w:r>
        <w:rPr>
          <w:rFonts w:ascii="Times New Roman" w:cs="Times New Roman" w:eastAsia="仿宋_GB2312" w:hAnsi="Times New Roman"/>
          <w:color w:val="000000"/>
          <w:kern w:val="0"/>
          <w:sz w:val="20"/>
          <w:szCs w:val="20"/>
        </w:rPr>
        <w:t>表</w:t>
      </w:r>
    </w:p>
    <w:p w14:paraId="E82D540F">
      <w:pPr>
        <w:pStyle w:val="style0"/>
        <w:widowControl/>
        <w:tabs>
          <w:tab w:val="left" w:leader="none" w:pos="3595"/>
          <w:tab w:val="left" w:leader="none" w:pos="4031"/>
          <w:tab w:val="left" w:leader="none" w:pos="5109"/>
          <w:tab w:val="left" w:leader="none" w:pos="9152"/>
          <w:tab w:val="left" w:leader="none" w:pos="9587"/>
          <w:tab w:val="left" w:leader="none" w:pos="11160"/>
          <w:tab w:val="left" w:leader="none" w:pos="12554"/>
          <w:tab w:val="left" w:leader="none" w:pos="13948"/>
        </w:tabs>
        <w:jc w:val="center"/>
        <w:rPr>
          <w:rFonts w:ascii="Times New Roman" w:cs="Times New Roman" w:eastAsia="仿宋_GB2312" w:hAnsi="Times New Roman"/>
          <w:color w:val="000000"/>
          <w:kern w:val="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color w:val="000000"/>
          <w:kern w:val="0"/>
          <w:sz w:val="20"/>
          <w:szCs w:val="20"/>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color w:val="000000"/>
          <w:kern w:val="0"/>
          <w:sz w:val="20"/>
          <w:szCs w:val="20"/>
        </w:rPr>
        <w:t>单位：万元</w:t>
      </w:r>
    </w:p>
    <w:tbl>
      <w:tblPr>
        <w:tblW w:w="0" w:type="auto"/>
        <w:jc w:val="center"/>
        <w:tblLook w:val="04A0" w:firstRow="1" w:lastRow="0" w:firstColumn="1" w:lastColumn="0" w:noHBand="0" w:noVBand="1"/>
      </w:tblPr>
      <w:tblGrid>
        <w:gridCol w:w="2655"/>
        <w:gridCol w:w="579"/>
        <w:gridCol w:w="683"/>
        <w:gridCol w:w="2165"/>
        <w:gridCol w:w="579"/>
        <w:gridCol w:w="637"/>
        <w:gridCol w:w="2137"/>
        <w:gridCol w:w="2319"/>
        <w:gridCol w:w="2455"/>
      </w:tblGrid>
      <w:tr w14:paraId="7E50470D">
        <w:trPr>
          <w:trHeight w:val="402" w:hRule="atLeast"/>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8719A869">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14:paraId="EFFA202D">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支出</w:t>
            </w:r>
          </w:p>
        </w:tc>
      </w:tr>
      <w:tr w14:paraId="C51FA8AD">
        <w:tblPrEx/>
        <w:trPr>
          <w:trHeight w:val="630"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518FFFE">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项</w:t>
            </w:r>
            <w:r>
              <w:rPr>
                <w:rFonts w:ascii="Times New Roman" w:cs="Times New Roman" w:eastAsia="仿宋_GB2312" w:hAnsi="Times New Roman"/>
                <w:kern w:val="0"/>
                <w:sz w:val="24"/>
                <w:szCs w:val="24"/>
              </w:rPr>
              <w:t xml:space="preserve">    </w:t>
            </w:r>
            <w:r>
              <w:rPr>
                <w:rFonts w:ascii="Times New Roman" w:cs="Times New Roman" w:eastAsia="仿宋_GB2312" w:hAnsi="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58374E2D">
            <w:pPr>
              <w:pStyle w:val="style0"/>
              <w:widowControl/>
              <w:jc w:val="center"/>
              <w:rPr>
                <w:rFonts w:ascii="Times New Roman" w:cs="Times New Roman" w:eastAsia="仿宋_GB2312" w:hAnsi="Times New Roman"/>
                <w:kern w:val="0"/>
                <w:sz w:val="20"/>
                <w:szCs w:val="20"/>
              </w:rPr>
            </w:pPr>
            <w:r>
              <w:rPr>
                <w:rFonts w:ascii="Times New Roman" w:cs="Times New Roman" w:eastAsia="仿宋_GB2312" w:hAnsi="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873C210D">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14:paraId="01380EB0">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项</w:t>
            </w:r>
            <w:r>
              <w:rPr>
                <w:rFonts w:ascii="Times New Roman" w:cs="Times New Roman" w:eastAsia="仿宋_GB2312" w:hAnsi="Times New Roman"/>
                <w:kern w:val="0"/>
                <w:sz w:val="24"/>
                <w:szCs w:val="24"/>
              </w:rPr>
              <w:t xml:space="preserve">    </w:t>
            </w:r>
            <w:r>
              <w:rPr>
                <w:rFonts w:ascii="Times New Roman" w:cs="Times New Roman" w:eastAsia="仿宋_GB2312" w:hAnsi="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14:paraId="A3DDA16C">
            <w:pPr>
              <w:pStyle w:val="style0"/>
              <w:widowControl/>
              <w:jc w:val="center"/>
              <w:rPr>
                <w:rFonts w:ascii="Times New Roman" w:cs="Times New Roman" w:eastAsia="仿宋_GB2312" w:hAnsi="Times New Roman"/>
                <w:kern w:val="0"/>
                <w:sz w:val="20"/>
                <w:szCs w:val="20"/>
              </w:rPr>
            </w:pPr>
            <w:r>
              <w:rPr>
                <w:rFonts w:ascii="Times New Roman" w:cs="Times New Roman" w:eastAsia="仿宋_GB2312" w:hAnsi="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14:paraId="664FFE62">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14:paraId="927E95E9">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14:paraId="1DAE5DF3">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14:paraId="CE59FB0E">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国有资本经营预算财政拨款</w:t>
            </w:r>
          </w:p>
        </w:tc>
      </w:tr>
      <w:tr w14:paraId="EFE3F247">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9437DA47">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栏</w:t>
            </w:r>
            <w:r>
              <w:rPr>
                <w:rFonts w:ascii="Times New Roman" w:cs="Times New Roman" w:eastAsia="仿宋_GB2312" w:hAnsi="Times New Roman"/>
                <w:kern w:val="0"/>
                <w:sz w:val="24"/>
                <w:szCs w:val="24"/>
              </w:rPr>
              <w:t xml:space="preserve">    </w:t>
            </w:r>
            <w:r>
              <w:rPr>
                <w:rFonts w:ascii="Times New Roman" w:cs="Times New Roman" w:eastAsia="仿宋_GB2312" w:hAnsi="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F3C8B7EE">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0" w:type="auto"/>
            <w:tcBorders>
              <w:top w:val="nil"/>
              <w:left w:val="nil"/>
              <w:bottom w:val="single" w:sz="4" w:space="0" w:color="auto"/>
              <w:right w:val="single" w:sz="4" w:space="0" w:color="auto"/>
            </w:tcBorders>
            <w:shd w:val="clear" w:color="auto" w:fill="auto"/>
            <w:noWrap/>
            <w:vAlign w:val="center"/>
          </w:tcPr>
          <w:p w14:paraId="0FF833A6">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DD0B0E0C">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栏</w:t>
            </w:r>
            <w:r>
              <w:rPr>
                <w:rFonts w:ascii="Times New Roman" w:cs="Times New Roman" w:eastAsia="仿宋_GB2312" w:hAnsi="Times New Roman"/>
                <w:kern w:val="0"/>
                <w:sz w:val="24"/>
                <w:szCs w:val="24"/>
              </w:rPr>
              <w:t xml:space="preserve">    </w:t>
            </w:r>
            <w:r>
              <w:rPr>
                <w:rFonts w:ascii="Times New Roman" w:cs="Times New Roman" w:eastAsia="仿宋_GB2312" w:hAnsi="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14:paraId="EEB528F3">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0" w:type="auto"/>
            <w:tcBorders>
              <w:top w:val="nil"/>
              <w:left w:val="nil"/>
              <w:bottom w:val="single" w:sz="4" w:space="0" w:color="auto"/>
              <w:right w:val="single" w:sz="4" w:space="0" w:color="auto"/>
            </w:tcBorders>
            <w:shd w:val="clear" w:color="auto" w:fill="auto"/>
            <w:noWrap/>
            <w:vAlign w:val="center"/>
          </w:tcPr>
          <w:p w14:paraId="84DFEEAD">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83910A73">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E60A6BA8">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C646E621">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5</w:t>
            </w:r>
          </w:p>
        </w:tc>
      </w:tr>
      <w:tr w14:paraId="D9748381">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EA2D73B">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58CCD318">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14:paraId="4727EA74">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lang w:val="en-US"/>
              </w:rPr>
              <w:t>40.4</w:t>
            </w: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89FF4CDF">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14:paraId="BA666702">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14:paraId="82AA73A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80EA58F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774407C1">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52E7308F">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912654C6">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E49A1BC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E99F5411">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C55577F8">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8610FC25">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14:paraId="FEC7C3B5">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14:paraId="37FC988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47DEE4D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82EF01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40DF5182">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68BA34F7">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A86CF2">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773A6E5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07DE855A">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5D9A07C">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14:paraId="D5C4347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14:paraId="EF51A5A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0F024B7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D2519B42">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559E1EE2">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4378D2E5">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312327F">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B67BEA29">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B7344745">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93A92164">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14:paraId="BBEF5B8A">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14:paraId="A2E86DFA">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F471F4D8">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8D34F5C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FEA803D7">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8455EAE1">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D98F0E5E">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7FE8F9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5ABD108B">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CA9B8012">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14:paraId="E2CCE70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14:paraId="6CAD16D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D67DAC5F">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r>
              <w:rPr>
                <w:rFonts w:ascii="Times New Roman" w:cs="Times New Roman" w:eastAsia="仿宋_GB2312" w:hAnsi="Times New Roman"/>
                <w:kern w:val="0"/>
                <w:sz w:val="22"/>
                <w:lang w:val="en-US"/>
              </w:rPr>
              <w:t>40.4</w:t>
            </w:r>
          </w:p>
        </w:tc>
        <w:tc>
          <w:tcPr>
            <w:tcW w:w="0" w:type="auto"/>
            <w:tcBorders>
              <w:top w:val="nil"/>
              <w:left w:val="nil"/>
              <w:bottom w:val="single" w:sz="4" w:space="0" w:color="auto"/>
              <w:right w:val="single" w:sz="4" w:space="0" w:color="auto"/>
            </w:tcBorders>
            <w:shd w:val="clear" w:color="auto" w:fill="auto"/>
            <w:noWrap/>
            <w:vAlign w:val="center"/>
          </w:tcPr>
          <w:p w14:paraId="5B4A5D6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lang w:val="en-US"/>
              </w:rPr>
              <w:t>40.4</w:t>
            </w: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44A84A17">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7783B5EB">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A710B39">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1952A6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65289EDF">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2B4B2248">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14:paraId="8B314DA8">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14:paraId="CFE5C0D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8CBF2A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C94ED37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534C40F">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E913F8F8">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E990F6">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B5DF362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D3006FF7">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3E08FA4C">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w:t>
            </w:r>
          </w:p>
        </w:tc>
        <w:tc>
          <w:tcPr>
            <w:tcW w:w="0" w:type="auto"/>
            <w:tcBorders>
              <w:top w:val="nil"/>
              <w:left w:val="nil"/>
              <w:bottom w:val="single" w:sz="4" w:space="0" w:color="auto"/>
              <w:right w:val="single" w:sz="4" w:space="0" w:color="auto"/>
            </w:tcBorders>
            <w:shd w:val="clear" w:color="auto" w:fill="auto"/>
            <w:noWrap/>
            <w:vAlign w:val="center"/>
          </w:tcPr>
          <w:p w14:paraId="9AD6C6C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14:paraId="705B90F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824407E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DC84D80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688B9E74">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52755144">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BAAA6D7">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1ACA85CF">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0E02E814">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46FF2BF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18E24D8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14:paraId="08DF833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7DD236B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75088E9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A9C3F3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6B1A7144">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CFD0D515">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14:paraId="A807D62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14:paraId="66B33DF4">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lang w:val="en-US"/>
              </w:rPr>
              <w:t>40.4</w:t>
            </w: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6CE99C3A">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14:paraId="D9D0F1AD">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14:paraId="BDD339E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FEA029C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r>
              <w:rPr>
                <w:rFonts w:ascii="Times New Roman" w:cs="Times New Roman" w:eastAsia="仿宋_GB2312" w:hAnsi="Times New Roman"/>
                <w:kern w:val="0"/>
                <w:sz w:val="22"/>
                <w:lang w:val="en-US"/>
              </w:rPr>
              <w:t>40.4</w:t>
            </w:r>
          </w:p>
        </w:tc>
        <w:tc>
          <w:tcPr>
            <w:tcW w:w="0" w:type="auto"/>
            <w:tcBorders>
              <w:top w:val="nil"/>
              <w:left w:val="nil"/>
              <w:bottom w:val="single" w:sz="4" w:space="0" w:color="auto"/>
              <w:right w:val="single" w:sz="4" w:space="0" w:color="auto"/>
            </w:tcBorders>
            <w:shd w:val="clear" w:color="auto" w:fill="auto"/>
            <w:noWrap/>
            <w:vAlign w:val="center"/>
          </w:tcPr>
          <w:p w14:paraId="4148965D">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lang w:val="en-US"/>
              </w:rPr>
              <w:t>40.4</w:t>
            </w: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C59E237C">
            <w:pPr>
              <w:pStyle w:val="style0"/>
              <w:widowControl/>
              <w:jc w:val="left"/>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　</w:t>
            </w:r>
          </w:p>
        </w:tc>
      </w:tr>
      <w:tr w14:paraId="D57BF595">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90CB395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D43AC08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14:paraId="465F5B91">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D42BC75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14:paraId="FAC9BCD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14:paraId="EDEFDAE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B1A1608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0C1A879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D5131039">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44C6F354">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879FBA59">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xml:space="preserve">   </w:t>
            </w:r>
            <w:r>
              <w:rPr>
                <w:rFonts w:ascii="Times New Roman" w:cs="Times New Roman" w:eastAsia="仿宋_GB2312" w:hAnsi="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14:paraId="D76D346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14:paraId="488D741C">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3C56C3FC">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5A839F2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14:paraId="5F0F12C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9C617C9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B06B21F9">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F5E60F46">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053A2FF1">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E1D5468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xml:space="preserve">     </w:t>
            </w:r>
            <w:r>
              <w:rPr>
                <w:rFonts w:ascii="Times New Roman" w:cs="Times New Roman" w:eastAsia="仿宋_GB2312" w:hAnsi="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14:paraId="E431D0A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14:paraId="BAF162BC">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19AE8625">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6365612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14:paraId="643B13A5">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EE7EC502">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A966506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B8D7A454">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44179B9D">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C7FFBDF0">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xml:space="preserve">      </w:t>
            </w:r>
            <w:r>
              <w:rPr>
                <w:rFonts w:ascii="Times New Roman" w:cs="Times New Roman" w:eastAsia="仿宋_GB2312" w:hAnsi="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14:paraId="0B89943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14:paraId="5093FE67">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70815FB8">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0704D5D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14:paraId="A381DCB9">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41C519D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5406C898">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26320BFF">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16158C51">
        <w:tblPrEx/>
        <w:trPr>
          <w:trHeight w:val="402" w:hRule="atLeast"/>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4C9DA6A">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E321D38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14:paraId="B78C784C">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lang w:val="en-US"/>
              </w:rPr>
              <w:t>40.4</w:t>
            </w: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000000" w:fill="ffffff"/>
            <w:noWrap/>
            <w:vAlign w:val="center"/>
          </w:tcPr>
          <w:p w14:paraId="46DF6841">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14:paraId="F3974349">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14:paraId="0EB93C48">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000000" w:fill="ffffff"/>
            <w:noWrap/>
            <w:vAlign w:val="center"/>
          </w:tcPr>
          <w:p w14:paraId="8C4C08DF">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lang w:val="en-US"/>
              </w:rPr>
              <w:t>40.4</w:t>
            </w:r>
            <w:r>
              <w:rPr>
                <w:rFonts w:ascii="Times New Roman" w:cs="Times New Roman" w:eastAsia="仿宋_GB2312" w:hAnsi="Times New Roman"/>
                <w:kern w:val="0"/>
                <w:sz w:val="22"/>
              </w:rPr>
              <w:t>　</w:t>
            </w:r>
          </w:p>
        </w:tc>
        <w:tc>
          <w:tcPr>
            <w:tcW w:w="0" w:type="auto"/>
            <w:tcBorders>
              <w:top w:val="nil"/>
              <w:left w:val="nil"/>
              <w:bottom w:val="single" w:sz="4" w:space="0" w:color="auto"/>
              <w:right w:val="single" w:sz="4" w:space="0" w:color="auto"/>
            </w:tcBorders>
            <w:shd w:val="clear" w:color="auto" w:fill="auto"/>
            <w:noWrap/>
            <w:vAlign w:val="center"/>
          </w:tcPr>
          <w:p w14:paraId="9FA74C42">
            <w:pPr>
              <w:pStyle w:val="style0"/>
              <w:widowControl/>
              <w:jc w:val="left"/>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　</w:t>
            </w:r>
            <w:r>
              <w:rPr>
                <w:rFonts w:ascii="Times New Roman" w:cs="Times New Roman" w:eastAsia="仿宋_GB2312" w:hAnsi="Times New Roman"/>
                <w:b/>
                <w:bCs/>
                <w:kern w:val="0"/>
                <w:sz w:val="22"/>
                <w:lang w:val="en-US"/>
              </w:rPr>
              <w:t>40.4</w:t>
            </w:r>
          </w:p>
        </w:tc>
        <w:tc>
          <w:tcPr>
            <w:tcW w:w="0" w:type="auto"/>
            <w:tcBorders>
              <w:top w:val="nil"/>
              <w:left w:val="nil"/>
              <w:bottom w:val="single" w:sz="4" w:space="0" w:color="auto"/>
              <w:right w:val="single" w:sz="4" w:space="0" w:color="auto"/>
            </w:tcBorders>
            <w:shd w:val="clear" w:color="auto" w:fill="auto"/>
            <w:noWrap/>
            <w:vAlign w:val="center"/>
          </w:tcPr>
          <w:p w14:paraId="77804AC6">
            <w:pPr>
              <w:pStyle w:val="style0"/>
              <w:widowControl/>
              <w:jc w:val="left"/>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　</w:t>
            </w:r>
          </w:p>
        </w:tc>
      </w:tr>
    </w:tbl>
    <w:p w14:paraId="B072A439">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注：</w:t>
      </w:r>
      <w:r>
        <w:rPr>
          <w:rFonts w:ascii="Times New Roman" w:cs="Times New Roman" w:eastAsia="仿宋_GB2312" w:hAnsi="Times New Roman"/>
          <w:spacing w:val="-6"/>
          <w:kern w:val="0"/>
          <w:sz w:val="24"/>
          <w:szCs w:val="24"/>
        </w:rPr>
        <w:t>本表反映部门本年度一般公共预算财政拨款、政府性基金预算财政拨款和国有资本经营预算财政拨款的总收支和年末结转结余情况。</w:t>
      </w:r>
    </w:p>
    <w:p w14:paraId="8A84D97A">
      <w:pPr>
        <w:pStyle w:val="style0"/>
        <w:widowControl/>
        <w:jc w:val="center"/>
        <w:rPr>
          <w:rFonts w:ascii="Times New Roman" w:cs="Times New Roman" w:eastAsia="方正小标宋_GBK" w:hAnsi="Times New Roman"/>
          <w:kern w:val="0"/>
          <w:sz w:val="36"/>
          <w:szCs w:val="36"/>
        </w:rPr>
      </w:pPr>
    </w:p>
    <w:p w14:paraId="175E9B86">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一般公共预算财政拨款支出决算表</w:t>
      </w:r>
      <w:bookmarkEnd w:id="2"/>
    </w:p>
    <w:p w14:paraId="807E835B">
      <w:pPr>
        <w:pStyle w:val="style0"/>
        <w:widowControl/>
        <w:spacing w:before="156" w:beforeLines="50"/>
        <w:jc w:val="left"/>
        <w:rPr>
          <w:rFonts w:ascii="Times New Roman" w:cs="Times New Roman" w:eastAsia="仿宋_GB2312" w:hAnsi="Times New Roman"/>
          <w:color w:val="000000"/>
          <w:kern w:val="0"/>
          <w:szCs w:val="21"/>
        </w:rPr>
      </w:pP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部门：</w:t>
      </w: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公开</w:t>
      </w:r>
      <w:r>
        <w:rPr>
          <w:rFonts w:ascii="Times New Roman" w:cs="Times New Roman" w:eastAsia="仿宋_GB2312" w:hAnsi="Times New Roman"/>
          <w:color w:val="000000"/>
          <w:kern w:val="0"/>
          <w:szCs w:val="21"/>
        </w:rPr>
        <w:t>05</w:t>
      </w:r>
      <w:r>
        <w:rPr>
          <w:rFonts w:ascii="Times New Roman" w:cs="Times New Roman" w:eastAsia="仿宋_GB2312" w:hAnsi="Times New Roman"/>
          <w:color w:val="000000"/>
          <w:kern w:val="0"/>
          <w:szCs w:val="21"/>
        </w:rPr>
        <w:t>表</w:t>
      </w:r>
    </w:p>
    <w:p w14:paraId="0711B1B2">
      <w:pPr>
        <w:pStyle w:val="style0"/>
        <w:widowControl/>
        <w:jc w:val="left"/>
        <w:rPr>
          <w:rFonts w:ascii="Times New Roman" w:cs="Times New Roman" w:eastAsia="宋体" w:hAnsi="Times New Roman"/>
          <w:color w:val="000000"/>
          <w:kern w:val="0"/>
          <w:sz w:val="20"/>
          <w:szCs w:val="20"/>
        </w:rPr>
      </w:pP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14:paraId="B800455D">
        <w:trPr>
          <w:trHeight w:val="545" w:hRule="atLeast"/>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F4CFE169">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项</w:t>
            </w:r>
            <w:r>
              <w:rPr>
                <w:rFonts w:ascii="Times New Roman" w:cs="Times New Roman" w:eastAsia="仿宋_GB2312" w:hAnsi="Times New Roman"/>
                <w:b/>
                <w:kern w:val="0"/>
                <w:szCs w:val="21"/>
              </w:rPr>
              <w:t xml:space="preserve"> </w:t>
            </w:r>
            <w:r>
              <w:rPr>
                <w:rFonts w:ascii="Times New Roman" w:cs="Times New Roman" w:eastAsia="仿宋_GB2312" w:hAnsi="Times New Roman"/>
                <w:b/>
                <w:color w:val="000000"/>
                <w:kern w:val="0"/>
                <w:szCs w:val="21"/>
              </w:rPr>
              <w:t xml:space="preserve">   </w:t>
            </w:r>
            <w:r>
              <w:rPr>
                <w:rFonts w:ascii="Times New Roman" w:cs="Times New Roman" w:eastAsia="仿宋_GB2312" w:hAnsi="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40C1AE93">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本年支出</w:t>
            </w:r>
          </w:p>
        </w:tc>
      </w:tr>
      <w:tr w14:paraId="C43BBEE0">
        <w:tblPrEx/>
        <w:trPr>
          <w:trHeight w:val="312" w:hRule="exact"/>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D1AD45A">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EC7F1B6B">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920F4878">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147C213B">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ECF34585">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项目支出</w:t>
            </w:r>
          </w:p>
        </w:tc>
      </w:tr>
      <w:tr w14:paraId="82253C81">
        <w:tblPrEx/>
        <w:trPr>
          <w:trHeight w:val="360" w:hRule="atLeast"/>
          <w:jc w:val="center"/>
        </w:trPr>
        <w:tc>
          <w:tcPr>
            <w:tcW w:w="1200" w:type="dxa"/>
            <w:vMerge w:val="continue"/>
            <w:tcBorders>
              <w:top w:val="single" w:sz="4" w:space="0" w:color="auto"/>
              <w:left w:val="single" w:sz="8" w:space="0" w:color="auto"/>
              <w:bottom w:val="single" w:sz="4" w:space="0" w:color="auto"/>
              <w:right w:val="single" w:sz="4" w:space="0" w:color="auto"/>
            </w:tcBorders>
            <w:vAlign w:val="center"/>
          </w:tcPr>
          <w:p w14:paraId="DFC07124">
            <w:pPr>
              <w:pStyle w:val="style0"/>
              <w:widowControl/>
              <w:jc w:val="left"/>
              <w:rPr>
                <w:rFonts w:ascii="Times New Roman" w:cs="Times New Roman" w:eastAsia="仿宋_GB2312" w:hAnsi="Times New Roman"/>
                <w:kern w:val="0"/>
                <w:szCs w:val="21"/>
              </w:rPr>
            </w:pPr>
          </w:p>
        </w:tc>
        <w:tc>
          <w:tcPr>
            <w:tcW w:w="3527" w:type="dxa"/>
            <w:vMerge w:val="continue"/>
            <w:tcBorders>
              <w:top w:val="nil"/>
              <w:left w:val="single" w:sz="4" w:space="0" w:color="auto"/>
              <w:bottom w:val="single" w:sz="4" w:space="0" w:color="auto"/>
              <w:right w:val="single" w:sz="4" w:space="0" w:color="auto"/>
            </w:tcBorders>
            <w:vAlign w:val="center"/>
          </w:tcPr>
          <w:p w14:paraId="A9A87314">
            <w:pPr>
              <w:pStyle w:val="style0"/>
              <w:widowControl/>
              <w:jc w:val="left"/>
              <w:rPr>
                <w:rFonts w:ascii="Times New Roman" w:cs="Times New Roman" w:eastAsia="仿宋_GB2312" w:hAnsi="Times New Roman"/>
                <w:kern w:val="0"/>
                <w:szCs w:val="21"/>
              </w:rPr>
            </w:pPr>
          </w:p>
        </w:tc>
        <w:tc>
          <w:tcPr>
            <w:tcW w:w="3000" w:type="dxa"/>
            <w:vMerge w:val="continue"/>
            <w:tcBorders>
              <w:top w:val="nil"/>
              <w:left w:val="single" w:sz="4" w:space="0" w:color="auto"/>
              <w:bottom w:val="single" w:sz="4" w:space="0" w:color="000000"/>
              <w:right w:val="single" w:sz="4" w:space="0" w:color="auto"/>
            </w:tcBorders>
            <w:vAlign w:val="center"/>
          </w:tcPr>
          <w:p w14:paraId="8B8A012B">
            <w:pPr>
              <w:pStyle w:val="style0"/>
              <w:widowControl/>
              <w:jc w:val="left"/>
              <w:rPr>
                <w:rFonts w:ascii="Times New Roman" w:cs="Times New Roman" w:eastAsia="仿宋_GB2312" w:hAnsi="Times New Roman"/>
                <w:kern w:val="0"/>
                <w:szCs w:val="21"/>
              </w:rPr>
            </w:pPr>
          </w:p>
        </w:tc>
        <w:tc>
          <w:tcPr>
            <w:tcW w:w="3492" w:type="dxa"/>
            <w:vMerge w:val="continue"/>
            <w:tcBorders>
              <w:top w:val="nil"/>
              <w:left w:val="single" w:sz="4" w:space="0" w:color="auto"/>
              <w:bottom w:val="single" w:sz="4" w:space="0" w:color="000000"/>
              <w:right w:val="single" w:sz="4" w:space="0" w:color="auto"/>
            </w:tcBorders>
            <w:vAlign w:val="center"/>
          </w:tcPr>
          <w:p w14:paraId="FCFFE55F">
            <w:pPr>
              <w:pStyle w:val="style0"/>
              <w:widowControl/>
              <w:jc w:val="left"/>
              <w:rPr>
                <w:rFonts w:ascii="Times New Roman" w:cs="Times New Roman" w:eastAsia="仿宋_GB2312" w:hAnsi="Times New Roman"/>
                <w:kern w:val="0"/>
                <w:szCs w:val="21"/>
              </w:rPr>
            </w:pPr>
          </w:p>
        </w:tc>
        <w:tc>
          <w:tcPr>
            <w:tcW w:w="3000" w:type="dxa"/>
            <w:vMerge w:val="continue"/>
            <w:tcBorders>
              <w:top w:val="nil"/>
              <w:left w:val="single" w:sz="4" w:space="0" w:color="auto"/>
              <w:bottom w:val="single" w:sz="4" w:space="0" w:color="000000"/>
              <w:right w:val="single" w:sz="8" w:space="0" w:color="auto"/>
            </w:tcBorders>
            <w:vAlign w:val="center"/>
          </w:tcPr>
          <w:p w14:paraId="D52CAF7A">
            <w:pPr>
              <w:pStyle w:val="style0"/>
              <w:widowControl/>
              <w:jc w:val="left"/>
              <w:rPr>
                <w:rFonts w:ascii="Times New Roman" w:cs="Times New Roman" w:eastAsia="仿宋_GB2312" w:hAnsi="Times New Roman"/>
                <w:kern w:val="0"/>
                <w:szCs w:val="21"/>
              </w:rPr>
            </w:pPr>
          </w:p>
        </w:tc>
      </w:tr>
      <w:tr w14:paraId="FA6D09C9">
        <w:tblPrEx/>
        <w:trPr>
          <w:trHeight w:val="312" w:hRule="atLeast"/>
          <w:jc w:val="center"/>
        </w:trPr>
        <w:tc>
          <w:tcPr>
            <w:tcW w:w="1200" w:type="dxa"/>
            <w:vMerge w:val="continue"/>
            <w:tcBorders>
              <w:top w:val="single" w:sz="4" w:space="0" w:color="auto"/>
              <w:left w:val="single" w:sz="8" w:space="0" w:color="auto"/>
              <w:bottom w:val="single" w:sz="4" w:space="0" w:color="auto"/>
              <w:right w:val="single" w:sz="4" w:space="0" w:color="auto"/>
            </w:tcBorders>
            <w:vAlign w:val="center"/>
          </w:tcPr>
          <w:p w14:paraId="87BA62EB">
            <w:pPr>
              <w:pStyle w:val="style0"/>
              <w:widowControl/>
              <w:jc w:val="left"/>
              <w:rPr>
                <w:rFonts w:ascii="Times New Roman" w:cs="Times New Roman" w:eastAsia="仿宋_GB2312" w:hAnsi="Times New Roman"/>
                <w:kern w:val="0"/>
                <w:szCs w:val="21"/>
              </w:rPr>
            </w:pPr>
          </w:p>
        </w:tc>
        <w:tc>
          <w:tcPr>
            <w:tcW w:w="3527" w:type="dxa"/>
            <w:vMerge w:val="continue"/>
            <w:tcBorders>
              <w:top w:val="nil"/>
              <w:left w:val="single" w:sz="4" w:space="0" w:color="auto"/>
              <w:bottom w:val="single" w:sz="4" w:space="0" w:color="auto"/>
              <w:right w:val="single" w:sz="4" w:space="0" w:color="auto"/>
            </w:tcBorders>
            <w:vAlign w:val="center"/>
          </w:tcPr>
          <w:p w14:paraId="30BB4C91">
            <w:pPr>
              <w:pStyle w:val="style0"/>
              <w:widowControl/>
              <w:jc w:val="left"/>
              <w:rPr>
                <w:rFonts w:ascii="Times New Roman" w:cs="Times New Roman" w:eastAsia="仿宋_GB2312" w:hAnsi="Times New Roman"/>
                <w:kern w:val="0"/>
                <w:szCs w:val="21"/>
              </w:rPr>
            </w:pPr>
          </w:p>
        </w:tc>
        <w:tc>
          <w:tcPr>
            <w:tcW w:w="3000" w:type="dxa"/>
            <w:vMerge w:val="continue"/>
            <w:tcBorders>
              <w:top w:val="nil"/>
              <w:left w:val="single" w:sz="4" w:space="0" w:color="auto"/>
              <w:bottom w:val="single" w:sz="4" w:space="0" w:color="000000"/>
              <w:right w:val="single" w:sz="4" w:space="0" w:color="auto"/>
            </w:tcBorders>
            <w:vAlign w:val="center"/>
          </w:tcPr>
          <w:p w14:paraId="6FE953C8">
            <w:pPr>
              <w:pStyle w:val="style0"/>
              <w:widowControl/>
              <w:jc w:val="left"/>
              <w:rPr>
                <w:rFonts w:ascii="Times New Roman" w:cs="Times New Roman" w:eastAsia="仿宋_GB2312" w:hAnsi="Times New Roman"/>
                <w:kern w:val="0"/>
                <w:szCs w:val="21"/>
              </w:rPr>
            </w:pPr>
          </w:p>
        </w:tc>
        <w:tc>
          <w:tcPr>
            <w:tcW w:w="3492" w:type="dxa"/>
            <w:vMerge w:val="continue"/>
            <w:tcBorders>
              <w:top w:val="nil"/>
              <w:left w:val="single" w:sz="4" w:space="0" w:color="auto"/>
              <w:bottom w:val="single" w:sz="4" w:space="0" w:color="000000"/>
              <w:right w:val="single" w:sz="4" w:space="0" w:color="auto"/>
            </w:tcBorders>
            <w:vAlign w:val="center"/>
          </w:tcPr>
          <w:p w14:paraId="30150FB6">
            <w:pPr>
              <w:pStyle w:val="style0"/>
              <w:widowControl/>
              <w:jc w:val="left"/>
              <w:rPr>
                <w:rFonts w:ascii="Times New Roman" w:cs="Times New Roman" w:eastAsia="仿宋_GB2312" w:hAnsi="Times New Roman"/>
                <w:kern w:val="0"/>
                <w:szCs w:val="21"/>
              </w:rPr>
            </w:pPr>
          </w:p>
        </w:tc>
        <w:tc>
          <w:tcPr>
            <w:tcW w:w="3000" w:type="dxa"/>
            <w:vMerge w:val="continue"/>
            <w:tcBorders>
              <w:top w:val="nil"/>
              <w:left w:val="single" w:sz="4" w:space="0" w:color="auto"/>
              <w:bottom w:val="single" w:sz="4" w:space="0" w:color="000000"/>
              <w:right w:val="single" w:sz="8" w:space="0" w:color="auto"/>
            </w:tcBorders>
            <w:vAlign w:val="center"/>
          </w:tcPr>
          <w:p w14:paraId="546B07B1">
            <w:pPr>
              <w:pStyle w:val="style0"/>
              <w:widowControl/>
              <w:jc w:val="left"/>
              <w:rPr>
                <w:rFonts w:ascii="Times New Roman" w:cs="Times New Roman" w:eastAsia="仿宋_GB2312" w:hAnsi="Times New Roman"/>
                <w:kern w:val="0"/>
                <w:szCs w:val="21"/>
              </w:rPr>
            </w:pPr>
          </w:p>
        </w:tc>
      </w:tr>
      <w:tr w14:paraId="BB43F67F">
        <w:tblPrEx/>
        <w:trPr>
          <w:trHeight w:val="450" w:hRule="atLeast"/>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F8680A0B">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392B3DCA">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26FBE5B9">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4360E0CD">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3</w:t>
            </w:r>
          </w:p>
        </w:tc>
      </w:tr>
      <w:tr w14:paraId="A4648CB5">
        <w:tblPrEx/>
        <w:trPr>
          <w:trHeight w:val="450" w:hRule="atLeast"/>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FDF1E10E">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2F7EA186">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lang w:val="en-US"/>
              </w:rPr>
              <w:t>40.4</w:t>
            </w:r>
            <w:r>
              <w:rPr>
                <w:rFonts w:ascii="Times New Roman" w:cs="Times New Roman" w:eastAsia="仿宋_GB2312" w:hAnsi="Times New Roman"/>
                <w:kern w:val="0"/>
                <w:szCs w:val="21"/>
              </w:rPr>
              <w:t>　</w:t>
            </w:r>
          </w:p>
        </w:tc>
        <w:tc>
          <w:tcPr>
            <w:tcW w:w="3492" w:type="dxa"/>
            <w:tcBorders>
              <w:top w:val="nil"/>
              <w:left w:val="nil"/>
              <w:bottom w:val="single" w:sz="4" w:space="0" w:color="auto"/>
              <w:right w:val="single" w:sz="4" w:space="0" w:color="auto"/>
            </w:tcBorders>
            <w:shd w:val="clear" w:color="auto" w:fill="auto"/>
            <w:vAlign w:val="center"/>
          </w:tcPr>
          <w:p w14:paraId="EB2D6730">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lang w:val="en-US"/>
              </w:rPr>
              <w:t>29.26</w:t>
            </w:r>
            <w:r>
              <w:rPr>
                <w:rFonts w:ascii="Times New Roman" w:cs="Times New Roman" w:eastAsia="仿宋_GB2312" w:hAnsi="Times New Roman"/>
                <w:kern w:val="0"/>
                <w:szCs w:val="21"/>
              </w:rPr>
              <w:t>　</w:t>
            </w:r>
          </w:p>
        </w:tc>
        <w:tc>
          <w:tcPr>
            <w:tcW w:w="3000" w:type="dxa"/>
            <w:tcBorders>
              <w:top w:val="nil"/>
              <w:left w:val="nil"/>
              <w:bottom w:val="single" w:sz="4" w:space="0" w:color="auto"/>
              <w:right w:val="single" w:sz="8" w:space="0" w:color="auto"/>
            </w:tcBorders>
            <w:shd w:val="clear" w:color="auto" w:fill="auto"/>
            <w:vAlign w:val="center"/>
          </w:tcPr>
          <w:p w14:paraId="3CDD6FD0">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lang w:val="en-US"/>
              </w:rPr>
              <w:t>11.13</w:t>
            </w:r>
            <w:r>
              <w:rPr>
                <w:rFonts w:ascii="Times New Roman" w:cs="Times New Roman" w:eastAsia="仿宋_GB2312" w:hAnsi="Times New Roman"/>
                <w:kern w:val="0"/>
                <w:szCs w:val="21"/>
              </w:rPr>
              <w:t>　</w:t>
            </w:r>
          </w:p>
        </w:tc>
      </w:tr>
      <w:tr w14:paraId="D3BBE17D">
        <w:tblPrEx/>
        <w:trPr>
          <w:trHeight w:val="450" w:hRule="atLeast"/>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85B4941">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lang w:val="en-US"/>
              </w:rPr>
              <w:t>205</w:t>
            </w:r>
            <w:r>
              <w:rPr>
                <w:rFonts w:ascii="Times New Roman" w:cs="Times New Roman" w:eastAsia="仿宋_GB2312" w:hAnsi="Times New Roman"/>
                <w:kern w:val="0"/>
                <w:szCs w:val="21"/>
              </w:rPr>
              <w:t>　</w:t>
            </w:r>
          </w:p>
        </w:tc>
        <w:tc>
          <w:tcPr>
            <w:tcW w:w="3527" w:type="dxa"/>
            <w:tcBorders>
              <w:top w:val="nil"/>
              <w:left w:val="nil"/>
              <w:bottom w:val="single" w:sz="4" w:space="0" w:color="auto"/>
              <w:right w:val="single" w:sz="4" w:space="0" w:color="auto"/>
            </w:tcBorders>
            <w:shd w:val="clear" w:color="auto" w:fill="auto"/>
            <w:vAlign w:val="center"/>
          </w:tcPr>
          <w:p w14:paraId="55940564">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教育支出</w:t>
            </w:r>
          </w:p>
        </w:tc>
        <w:tc>
          <w:tcPr>
            <w:tcW w:w="3000" w:type="dxa"/>
            <w:tcBorders>
              <w:top w:val="nil"/>
              <w:left w:val="nil"/>
              <w:bottom w:val="single" w:sz="4" w:space="0" w:color="auto"/>
              <w:right w:val="single" w:sz="4" w:space="0" w:color="auto"/>
            </w:tcBorders>
            <w:shd w:val="clear" w:color="auto" w:fill="auto"/>
            <w:vAlign w:val="center"/>
          </w:tcPr>
          <w:p w14:paraId="7C0F4F5B">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40.4</w:t>
            </w:r>
          </w:p>
        </w:tc>
        <w:tc>
          <w:tcPr>
            <w:tcW w:w="3492" w:type="dxa"/>
            <w:tcBorders>
              <w:top w:val="nil"/>
              <w:left w:val="nil"/>
              <w:bottom w:val="single" w:sz="4" w:space="0" w:color="auto"/>
              <w:right w:val="single" w:sz="4" w:space="0" w:color="auto"/>
            </w:tcBorders>
            <w:shd w:val="clear" w:color="auto" w:fill="auto"/>
            <w:vAlign w:val="center"/>
          </w:tcPr>
          <w:p w14:paraId="1DB9AB27">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29.26</w:t>
            </w:r>
          </w:p>
        </w:tc>
        <w:tc>
          <w:tcPr>
            <w:tcW w:w="3000" w:type="dxa"/>
            <w:tcBorders>
              <w:top w:val="nil"/>
              <w:left w:val="nil"/>
              <w:bottom w:val="single" w:sz="4" w:space="0" w:color="auto"/>
              <w:right w:val="single" w:sz="8" w:space="0" w:color="auto"/>
            </w:tcBorders>
            <w:shd w:val="clear" w:color="auto" w:fill="auto"/>
            <w:vAlign w:val="center"/>
          </w:tcPr>
          <w:p w14:paraId="4A0F4B53">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11.13</w:t>
            </w:r>
          </w:p>
        </w:tc>
      </w:tr>
      <w:tr w14:paraId="D47859EA">
        <w:tblPrEx/>
        <w:trPr>
          <w:trHeight w:val="450" w:hRule="atLeast"/>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DF70F52">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lang w:val="en-US"/>
              </w:rPr>
              <w:t>20502</w:t>
            </w:r>
            <w:r>
              <w:rPr>
                <w:rFonts w:ascii="Times New Roman" w:cs="Times New Roman" w:eastAsia="仿宋_GB2312" w:hAnsi="Times New Roman"/>
                <w:kern w:val="0"/>
                <w:szCs w:val="21"/>
              </w:rPr>
              <w:t>　</w:t>
            </w:r>
          </w:p>
        </w:tc>
        <w:tc>
          <w:tcPr>
            <w:tcW w:w="3527" w:type="dxa"/>
            <w:tcBorders>
              <w:top w:val="nil"/>
              <w:left w:val="nil"/>
              <w:bottom w:val="single" w:sz="4" w:space="0" w:color="auto"/>
              <w:right w:val="single" w:sz="4" w:space="0" w:color="auto"/>
            </w:tcBorders>
            <w:shd w:val="clear" w:color="auto" w:fill="auto"/>
            <w:vAlign w:val="center"/>
          </w:tcPr>
          <w:p w14:paraId="C67788F0">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普通教育</w:t>
            </w:r>
          </w:p>
        </w:tc>
        <w:tc>
          <w:tcPr>
            <w:tcW w:w="3000" w:type="dxa"/>
            <w:tcBorders>
              <w:top w:val="nil"/>
              <w:left w:val="nil"/>
              <w:bottom w:val="single" w:sz="4" w:space="0" w:color="auto"/>
              <w:right w:val="single" w:sz="4" w:space="0" w:color="auto"/>
            </w:tcBorders>
            <w:shd w:val="clear" w:color="auto" w:fill="auto"/>
            <w:vAlign w:val="center"/>
          </w:tcPr>
          <w:p w14:paraId="620F662E">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40.4</w:t>
            </w:r>
          </w:p>
        </w:tc>
        <w:tc>
          <w:tcPr>
            <w:tcW w:w="3492" w:type="dxa"/>
            <w:tcBorders>
              <w:top w:val="nil"/>
              <w:left w:val="nil"/>
              <w:bottom w:val="single" w:sz="4" w:space="0" w:color="auto"/>
              <w:right w:val="single" w:sz="4" w:space="0" w:color="auto"/>
            </w:tcBorders>
            <w:shd w:val="clear" w:color="auto" w:fill="auto"/>
            <w:vAlign w:val="center"/>
          </w:tcPr>
          <w:p w14:paraId="5321D516">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29.26</w:t>
            </w:r>
          </w:p>
        </w:tc>
        <w:tc>
          <w:tcPr>
            <w:tcW w:w="3000" w:type="dxa"/>
            <w:tcBorders>
              <w:top w:val="nil"/>
              <w:left w:val="nil"/>
              <w:bottom w:val="single" w:sz="4" w:space="0" w:color="auto"/>
              <w:right w:val="single" w:sz="8" w:space="0" w:color="auto"/>
            </w:tcBorders>
            <w:shd w:val="clear" w:color="auto" w:fill="auto"/>
            <w:vAlign w:val="center"/>
          </w:tcPr>
          <w:p w14:paraId="C783602A">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11.13</w:t>
            </w:r>
          </w:p>
        </w:tc>
      </w:tr>
      <w:tr w14:paraId="CBD0BEFF">
        <w:tblPrEx/>
        <w:trPr>
          <w:trHeight w:val="450" w:hRule="atLeast"/>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803F328">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lang w:val="en-US"/>
              </w:rPr>
              <w:t>2050201</w:t>
            </w:r>
            <w:r>
              <w:rPr>
                <w:rFonts w:ascii="Times New Roman" w:cs="Times New Roman" w:eastAsia="仿宋_GB2312" w:hAnsi="Times New Roman"/>
                <w:kern w:val="0"/>
                <w:szCs w:val="21"/>
              </w:rPr>
              <w:t>　</w:t>
            </w:r>
          </w:p>
        </w:tc>
        <w:tc>
          <w:tcPr>
            <w:tcW w:w="3527" w:type="dxa"/>
            <w:tcBorders>
              <w:top w:val="nil"/>
              <w:left w:val="nil"/>
              <w:bottom w:val="single" w:sz="4" w:space="0" w:color="auto"/>
              <w:right w:val="single" w:sz="4" w:space="0" w:color="auto"/>
            </w:tcBorders>
            <w:shd w:val="clear" w:color="auto" w:fill="auto"/>
            <w:vAlign w:val="center"/>
          </w:tcPr>
          <w:p w14:paraId="C5C597DD">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学前教育</w:t>
            </w:r>
          </w:p>
        </w:tc>
        <w:tc>
          <w:tcPr>
            <w:tcW w:w="3000" w:type="dxa"/>
            <w:tcBorders>
              <w:top w:val="nil"/>
              <w:left w:val="nil"/>
              <w:bottom w:val="single" w:sz="4" w:space="0" w:color="auto"/>
              <w:right w:val="single" w:sz="4" w:space="0" w:color="auto"/>
            </w:tcBorders>
            <w:shd w:val="clear" w:color="auto" w:fill="auto"/>
            <w:vAlign w:val="center"/>
          </w:tcPr>
          <w:p w14:paraId="4A7F7E00">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40.4</w:t>
            </w:r>
          </w:p>
        </w:tc>
        <w:tc>
          <w:tcPr>
            <w:tcW w:w="3492" w:type="dxa"/>
            <w:tcBorders>
              <w:top w:val="nil"/>
              <w:left w:val="nil"/>
              <w:bottom w:val="single" w:sz="4" w:space="0" w:color="auto"/>
              <w:right w:val="single" w:sz="4" w:space="0" w:color="auto"/>
            </w:tcBorders>
            <w:shd w:val="clear" w:color="auto" w:fill="auto"/>
            <w:vAlign w:val="center"/>
          </w:tcPr>
          <w:p w14:paraId="FD230547">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29.26</w:t>
            </w:r>
          </w:p>
        </w:tc>
        <w:tc>
          <w:tcPr>
            <w:tcW w:w="3000" w:type="dxa"/>
            <w:tcBorders>
              <w:top w:val="nil"/>
              <w:left w:val="nil"/>
              <w:bottom w:val="single" w:sz="4" w:space="0" w:color="auto"/>
              <w:right w:val="single" w:sz="8" w:space="0" w:color="auto"/>
            </w:tcBorders>
            <w:shd w:val="clear" w:color="auto" w:fill="auto"/>
            <w:vAlign w:val="center"/>
          </w:tcPr>
          <w:p w14:paraId="7AEB602E">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r>
              <w:rPr>
                <w:rFonts w:ascii="Times New Roman" w:cs="Times New Roman" w:eastAsia="仿宋_GB2312" w:hAnsi="Times New Roman"/>
                <w:kern w:val="0"/>
                <w:szCs w:val="21"/>
                <w:lang w:val="en-US"/>
              </w:rPr>
              <w:t>11.13</w:t>
            </w:r>
          </w:p>
        </w:tc>
      </w:tr>
      <w:tr w14:paraId="A64045E0">
        <w:tblPrEx/>
        <w:trPr>
          <w:trHeight w:val="450" w:hRule="atLeast"/>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37CE48C">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527" w:type="dxa"/>
            <w:tcBorders>
              <w:top w:val="nil"/>
              <w:left w:val="nil"/>
              <w:bottom w:val="single" w:sz="4" w:space="0" w:color="auto"/>
              <w:right w:val="single" w:sz="4" w:space="0" w:color="auto"/>
            </w:tcBorders>
            <w:shd w:val="clear" w:color="auto" w:fill="auto"/>
            <w:vAlign w:val="center"/>
          </w:tcPr>
          <w:p w14:paraId="FEB11CB0">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000" w:type="dxa"/>
            <w:tcBorders>
              <w:top w:val="nil"/>
              <w:left w:val="nil"/>
              <w:bottom w:val="single" w:sz="4" w:space="0" w:color="auto"/>
              <w:right w:val="single" w:sz="4" w:space="0" w:color="auto"/>
            </w:tcBorders>
            <w:shd w:val="clear" w:color="auto" w:fill="auto"/>
            <w:vAlign w:val="center"/>
          </w:tcPr>
          <w:p w14:paraId="FF62A886">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492" w:type="dxa"/>
            <w:tcBorders>
              <w:top w:val="nil"/>
              <w:left w:val="nil"/>
              <w:bottom w:val="single" w:sz="4" w:space="0" w:color="auto"/>
              <w:right w:val="single" w:sz="4" w:space="0" w:color="auto"/>
            </w:tcBorders>
            <w:shd w:val="clear" w:color="auto" w:fill="auto"/>
            <w:vAlign w:val="center"/>
          </w:tcPr>
          <w:p w14:paraId="EAC583D2">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000" w:type="dxa"/>
            <w:tcBorders>
              <w:top w:val="nil"/>
              <w:left w:val="nil"/>
              <w:bottom w:val="single" w:sz="4" w:space="0" w:color="auto"/>
              <w:right w:val="single" w:sz="8" w:space="0" w:color="auto"/>
            </w:tcBorders>
            <w:shd w:val="clear" w:color="auto" w:fill="auto"/>
            <w:vAlign w:val="center"/>
          </w:tcPr>
          <w:p w14:paraId="1F459F62">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r>
      <w:tr w14:paraId="F413C8F6">
        <w:tblPrEx/>
        <w:trPr>
          <w:trHeight w:val="450" w:hRule="atLeast"/>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E02B8C49">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527" w:type="dxa"/>
            <w:tcBorders>
              <w:top w:val="nil"/>
              <w:left w:val="nil"/>
              <w:bottom w:val="single" w:sz="4" w:space="0" w:color="auto"/>
              <w:right w:val="single" w:sz="4" w:space="0" w:color="auto"/>
            </w:tcBorders>
            <w:shd w:val="clear" w:color="auto" w:fill="auto"/>
            <w:vAlign w:val="center"/>
          </w:tcPr>
          <w:p w14:paraId="7DD7E1E4">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000" w:type="dxa"/>
            <w:tcBorders>
              <w:top w:val="nil"/>
              <w:left w:val="nil"/>
              <w:bottom w:val="single" w:sz="4" w:space="0" w:color="auto"/>
              <w:right w:val="single" w:sz="4" w:space="0" w:color="auto"/>
            </w:tcBorders>
            <w:shd w:val="clear" w:color="auto" w:fill="auto"/>
            <w:vAlign w:val="center"/>
          </w:tcPr>
          <w:p w14:paraId="00199A58">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492" w:type="dxa"/>
            <w:tcBorders>
              <w:top w:val="nil"/>
              <w:left w:val="nil"/>
              <w:bottom w:val="single" w:sz="4" w:space="0" w:color="auto"/>
              <w:right w:val="single" w:sz="4" w:space="0" w:color="auto"/>
            </w:tcBorders>
            <w:shd w:val="clear" w:color="auto" w:fill="auto"/>
            <w:vAlign w:val="center"/>
          </w:tcPr>
          <w:p w14:paraId="4059EBFA">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000" w:type="dxa"/>
            <w:tcBorders>
              <w:top w:val="nil"/>
              <w:left w:val="nil"/>
              <w:bottom w:val="single" w:sz="4" w:space="0" w:color="auto"/>
              <w:right w:val="single" w:sz="8" w:space="0" w:color="auto"/>
            </w:tcBorders>
            <w:shd w:val="clear" w:color="auto" w:fill="auto"/>
            <w:vAlign w:val="center"/>
          </w:tcPr>
          <w:p w14:paraId="EC031655">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r>
      <w:tr w14:paraId="75E04101">
        <w:tblPrEx/>
        <w:trPr>
          <w:trHeight w:val="450" w:hRule="atLeast"/>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CB2B3CE7">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527" w:type="dxa"/>
            <w:tcBorders>
              <w:top w:val="nil"/>
              <w:left w:val="nil"/>
              <w:bottom w:val="single" w:sz="8" w:space="0" w:color="auto"/>
              <w:right w:val="single" w:sz="4" w:space="0" w:color="auto"/>
            </w:tcBorders>
            <w:shd w:val="clear" w:color="auto" w:fill="auto"/>
            <w:vAlign w:val="center"/>
          </w:tcPr>
          <w:p w14:paraId="0649D1D8">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000" w:type="dxa"/>
            <w:tcBorders>
              <w:top w:val="nil"/>
              <w:left w:val="nil"/>
              <w:bottom w:val="single" w:sz="8" w:space="0" w:color="auto"/>
              <w:right w:val="single" w:sz="4" w:space="0" w:color="auto"/>
            </w:tcBorders>
            <w:shd w:val="clear" w:color="auto" w:fill="auto"/>
            <w:vAlign w:val="center"/>
          </w:tcPr>
          <w:p w14:paraId="1AB1ACE0">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492" w:type="dxa"/>
            <w:tcBorders>
              <w:top w:val="nil"/>
              <w:left w:val="nil"/>
              <w:bottom w:val="single" w:sz="8" w:space="0" w:color="auto"/>
              <w:right w:val="single" w:sz="4" w:space="0" w:color="auto"/>
            </w:tcBorders>
            <w:shd w:val="clear" w:color="auto" w:fill="auto"/>
            <w:vAlign w:val="center"/>
          </w:tcPr>
          <w:p w14:paraId="C85DA07C">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c>
          <w:tcPr>
            <w:tcW w:w="3000" w:type="dxa"/>
            <w:tcBorders>
              <w:top w:val="nil"/>
              <w:left w:val="nil"/>
              <w:bottom w:val="single" w:sz="8" w:space="0" w:color="auto"/>
              <w:right w:val="single" w:sz="8" w:space="0" w:color="auto"/>
            </w:tcBorders>
            <w:shd w:val="clear" w:color="auto" w:fill="auto"/>
            <w:vAlign w:val="center"/>
          </w:tcPr>
          <w:p w14:paraId="81F73C4F">
            <w:pPr>
              <w:pStyle w:val="style0"/>
              <w:widowControl/>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　</w:t>
            </w:r>
          </w:p>
        </w:tc>
      </w:tr>
    </w:tbl>
    <w:p w14:paraId="C7F57035">
      <w:pPr>
        <w:pStyle w:val="style0"/>
        <w:widowControl/>
        <w:spacing w:before="120"/>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注：本表反映部门本年度一般公共预算财政拨款支出情况。</w:t>
      </w:r>
    </w:p>
    <w:p w14:paraId="F4A6854F">
      <w:pPr>
        <w:pStyle w:val="style0"/>
        <w:widowControl/>
        <w:jc w:val="left"/>
        <w:rPr>
          <w:rFonts w:ascii="Times New Roman" w:cs="Times New Roman" w:eastAsia="仿宋_GB2312" w:hAnsi="Times New Roman"/>
          <w:bCs/>
          <w:kern w:val="0"/>
          <w:szCs w:val="21"/>
        </w:rPr>
      </w:pPr>
    </w:p>
    <w:p w14:paraId="DDFFBB50">
      <w:pPr>
        <w:pStyle w:val="style0"/>
        <w:widowControl/>
        <w:jc w:val="left"/>
        <w:rPr>
          <w:rFonts w:ascii="Times New Roman" w:cs="Times New Roman" w:eastAsia="仿宋_GB2312" w:hAnsi="Times New Roman"/>
          <w:bCs/>
          <w:kern w:val="0"/>
          <w:szCs w:val="21"/>
        </w:rPr>
      </w:pPr>
      <w:r>
        <w:rPr>
          <w:rFonts w:ascii="Times New Roman" w:cs="Times New Roman" w:eastAsia="仿宋_GB2312" w:hAnsi="Times New Roman"/>
          <w:bCs/>
          <w:kern w:val="0"/>
          <w:szCs w:val="21"/>
        </w:rPr>
        <w:br w:type="page"/>
      </w:r>
    </w:p>
    <w:bookmarkStart w:id="3" w:name="RANGE!A1:I34"/>
    <w:p w14:paraId="AE6E4ACC">
      <w:pPr>
        <w:pStyle w:val="style0"/>
        <w:widowControl/>
        <w:spacing w:after="12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一般公共预算财政拨款基本支出决算明细表</w:t>
      </w:r>
      <w:bookmarkEnd w:id="3"/>
    </w:p>
    <w:p w14:paraId="D25D7401">
      <w:pPr>
        <w:pStyle w:val="style0"/>
        <w:widowControl/>
        <w:wordWrap w:val="false"/>
        <w:spacing w:lineRule="exact" w:line="240"/>
        <w:jc w:val="right"/>
        <w:rPr>
          <w:rFonts w:ascii="Times New Roman" w:cs="Times New Roman" w:eastAsia="仿宋_GB2312" w:hAnsi="Times New Roman"/>
          <w:color w:val="000000"/>
          <w:kern w:val="0"/>
          <w:szCs w:val="21"/>
        </w:rPr>
      </w:pP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部门：</w:t>
      </w: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 xml:space="preserve">                                                                                                               </w:t>
      </w:r>
      <w:r>
        <w:rPr>
          <w:rFonts w:ascii="Times New Roman" w:cs="Times New Roman" w:eastAsia="仿宋_GB2312" w:hAnsi="Times New Roman"/>
          <w:color w:val="000000"/>
          <w:kern w:val="0"/>
          <w:szCs w:val="21"/>
        </w:rPr>
        <w:t>公开</w:t>
      </w:r>
      <w:r>
        <w:rPr>
          <w:rFonts w:ascii="Times New Roman" w:cs="Times New Roman" w:eastAsia="仿宋_GB2312" w:hAnsi="Times New Roman"/>
          <w:color w:val="000000"/>
          <w:kern w:val="0"/>
          <w:szCs w:val="21"/>
        </w:rPr>
        <w:t>06</w:t>
      </w:r>
      <w:r>
        <w:rPr>
          <w:rFonts w:ascii="Times New Roman" w:cs="Times New Roman" w:eastAsia="仿宋_GB2312" w:hAnsi="Times New Roman"/>
          <w:color w:val="000000"/>
          <w:kern w:val="0"/>
          <w:szCs w:val="21"/>
        </w:rPr>
        <w:t>表</w:t>
      </w:r>
    </w:p>
    <w:p w14:paraId="CBC46CAD">
      <w:pPr>
        <w:pStyle w:val="style0"/>
        <w:widowControl/>
        <w:spacing w:lineRule="exact" w:line="240"/>
        <w:jc w:val="right"/>
        <w:rPr>
          <w:rFonts w:ascii="Times New Roman" w:cs="Times New Roman" w:eastAsia="华文中宋" w:hAnsi="Times New Roman"/>
          <w:color w:val="000000"/>
          <w:kern w:val="0"/>
          <w:szCs w:val="32"/>
        </w:rPr>
      </w:pPr>
      <w:r>
        <w:rPr>
          <w:rFonts w:ascii="Times New Roman" w:cs="Times New Roman" w:eastAsia="仿宋_GB2312" w:hAnsi="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14:paraId="4D331113">
        <w:trPr>
          <w:trHeight w:val="530" w:hRule="atLeast"/>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8B1BC85D">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EB476B3B">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5152E13B">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8917FFBE">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D75506EA">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6267C735">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8BC6D1D1">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29A8174B">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1440DF13">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决算数</w:t>
            </w:r>
          </w:p>
        </w:tc>
      </w:tr>
      <w:tr w14:paraId="5CDF7544">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BB7D0AC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14:paraId="5B36700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14:paraId="D22CCF7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22.42</w:t>
            </w:r>
          </w:p>
        </w:tc>
        <w:tc>
          <w:tcPr>
            <w:tcW w:w="1116" w:type="dxa"/>
            <w:tcBorders>
              <w:top w:val="nil"/>
              <w:left w:val="nil"/>
              <w:bottom w:val="single" w:sz="4" w:space="0" w:color="auto"/>
              <w:right w:val="single" w:sz="4" w:space="0" w:color="auto"/>
            </w:tcBorders>
            <w:shd w:val="clear" w:color="auto" w:fill="auto"/>
            <w:noWrap/>
            <w:vAlign w:val="center"/>
          </w:tcPr>
          <w:p w14:paraId="DEBFAB2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14:paraId="9A33F47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1CCC182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6.84</w:t>
            </w:r>
          </w:p>
        </w:tc>
        <w:tc>
          <w:tcPr>
            <w:tcW w:w="1217" w:type="dxa"/>
            <w:tcBorders>
              <w:top w:val="nil"/>
              <w:left w:val="nil"/>
              <w:bottom w:val="single" w:sz="4" w:space="0" w:color="auto"/>
              <w:right w:val="single" w:sz="4" w:space="0" w:color="auto"/>
            </w:tcBorders>
            <w:shd w:val="clear" w:color="auto" w:fill="auto"/>
            <w:noWrap/>
            <w:vAlign w:val="center"/>
          </w:tcPr>
          <w:p w14:paraId="D4F62A5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14:paraId="06AB78F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F446B05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230599A9">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B210813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14:paraId="6E8A39B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14:paraId="C885781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20.54</w:t>
            </w:r>
          </w:p>
        </w:tc>
        <w:tc>
          <w:tcPr>
            <w:tcW w:w="1116" w:type="dxa"/>
            <w:tcBorders>
              <w:top w:val="nil"/>
              <w:left w:val="nil"/>
              <w:bottom w:val="single" w:sz="4" w:space="0" w:color="auto"/>
              <w:right w:val="single" w:sz="4" w:space="0" w:color="auto"/>
            </w:tcBorders>
            <w:shd w:val="clear" w:color="auto" w:fill="auto"/>
            <w:noWrap/>
            <w:vAlign w:val="center"/>
          </w:tcPr>
          <w:p w14:paraId="8A38204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14:paraId="BB95D9D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14:paraId="254E448E">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lang w:val="en-US"/>
              </w:rPr>
              <w:t xml:space="preserve"> 3.26</w:t>
            </w:r>
          </w:p>
        </w:tc>
        <w:tc>
          <w:tcPr>
            <w:tcW w:w="1217" w:type="dxa"/>
            <w:tcBorders>
              <w:top w:val="nil"/>
              <w:left w:val="nil"/>
              <w:bottom w:val="single" w:sz="4" w:space="0" w:color="auto"/>
              <w:right w:val="single" w:sz="4" w:space="0" w:color="auto"/>
            </w:tcBorders>
            <w:shd w:val="clear" w:color="auto" w:fill="auto"/>
            <w:noWrap/>
            <w:vAlign w:val="center"/>
          </w:tcPr>
          <w:p w14:paraId="E6B03FC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14:paraId="F09D415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14:paraId="332D346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7670E5AD">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C89B8BD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14:paraId="9C1705B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14:paraId="0D65B3F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0.75</w:t>
            </w:r>
          </w:p>
        </w:tc>
        <w:tc>
          <w:tcPr>
            <w:tcW w:w="1116" w:type="dxa"/>
            <w:tcBorders>
              <w:top w:val="nil"/>
              <w:left w:val="nil"/>
              <w:bottom w:val="single" w:sz="4" w:space="0" w:color="auto"/>
              <w:right w:val="single" w:sz="4" w:space="0" w:color="auto"/>
            </w:tcBorders>
            <w:shd w:val="clear" w:color="auto" w:fill="auto"/>
            <w:noWrap/>
            <w:vAlign w:val="center"/>
          </w:tcPr>
          <w:p w14:paraId="22B5388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14:paraId="04AD5C2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14:paraId="B0E33DD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1.19</w:t>
            </w:r>
          </w:p>
        </w:tc>
        <w:tc>
          <w:tcPr>
            <w:tcW w:w="1217" w:type="dxa"/>
            <w:tcBorders>
              <w:top w:val="nil"/>
              <w:left w:val="nil"/>
              <w:bottom w:val="single" w:sz="4" w:space="0" w:color="auto"/>
              <w:right w:val="single" w:sz="4" w:space="0" w:color="auto"/>
            </w:tcBorders>
            <w:shd w:val="clear" w:color="auto" w:fill="auto"/>
            <w:noWrap/>
            <w:vAlign w:val="center"/>
          </w:tcPr>
          <w:p w14:paraId="4BAD88A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14:paraId="1E59FE1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14:paraId="038EE56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9DF8CF01">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C2197B3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14:paraId="89503C3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14:paraId="FACBCBD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B8D33A5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14:paraId="586B85C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14:paraId="118E4C5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E78A4AA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14:paraId="0FFC064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829E904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80C82E78">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97CA259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14:paraId="222D1EA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14:paraId="4276C4B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0.1</w:t>
            </w:r>
          </w:p>
        </w:tc>
        <w:tc>
          <w:tcPr>
            <w:tcW w:w="1116" w:type="dxa"/>
            <w:tcBorders>
              <w:top w:val="nil"/>
              <w:left w:val="nil"/>
              <w:bottom w:val="single" w:sz="4" w:space="0" w:color="auto"/>
              <w:right w:val="single" w:sz="4" w:space="0" w:color="auto"/>
            </w:tcBorders>
            <w:shd w:val="clear" w:color="auto" w:fill="auto"/>
            <w:noWrap/>
            <w:vAlign w:val="center"/>
          </w:tcPr>
          <w:p w14:paraId="6A9F9B7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14:paraId="155B10A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14:paraId="A7CE508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E54284B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14:paraId="BDCBCD2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14:paraId="0D0478D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7903A80C">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A053DCD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14:paraId="53B8B38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14:paraId="36C5E05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1.02</w:t>
            </w:r>
          </w:p>
        </w:tc>
        <w:tc>
          <w:tcPr>
            <w:tcW w:w="1116" w:type="dxa"/>
            <w:tcBorders>
              <w:top w:val="nil"/>
              <w:left w:val="nil"/>
              <w:bottom w:val="single" w:sz="4" w:space="0" w:color="auto"/>
              <w:right w:val="single" w:sz="4" w:space="0" w:color="auto"/>
            </w:tcBorders>
            <w:shd w:val="clear" w:color="auto" w:fill="auto"/>
            <w:noWrap/>
            <w:vAlign w:val="center"/>
          </w:tcPr>
          <w:p w14:paraId="175E847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14:paraId="50B7053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14:paraId="D93879D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0.19</w:t>
            </w:r>
          </w:p>
        </w:tc>
        <w:tc>
          <w:tcPr>
            <w:tcW w:w="1217" w:type="dxa"/>
            <w:tcBorders>
              <w:top w:val="nil"/>
              <w:left w:val="nil"/>
              <w:bottom w:val="single" w:sz="4" w:space="0" w:color="auto"/>
              <w:right w:val="single" w:sz="4" w:space="0" w:color="auto"/>
            </w:tcBorders>
            <w:shd w:val="clear" w:color="auto" w:fill="auto"/>
            <w:noWrap/>
            <w:vAlign w:val="center"/>
          </w:tcPr>
          <w:p w14:paraId="FD7FDA4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14:paraId="CE36E55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14:paraId="6E088D6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D2ABD4B8">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80C2E7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14:paraId="12CF82D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14:paraId="FD43087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A9AFE80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14:paraId="8900D13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14:paraId="2F9E3DC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0.47</w:t>
            </w:r>
          </w:p>
        </w:tc>
        <w:tc>
          <w:tcPr>
            <w:tcW w:w="1217" w:type="dxa"/>
            <w:tcBorders>
              <w:top w:val="nil"/>
              <w:left w:val="nil"/>
              <w:bottom w:val="single" w:sz="4" w:space="0" w:color="auto"/>
              <w:right w:val="single" w:sz="4" w:space="0" w:color="auto"/>
            </w:tcBorders>
            <w:shd w:val="clear" w:color="auto" w:fill="auto"/>
            <w:noWrap/>
            <w:vAlign w:val="center"/>
          </w:tcPr>
          <w:p w14:paraId="9624621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14:paraId="4E8A37B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14:paraId="4D9F8C9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6327193D">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DE21101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14:paraId="DE26308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14:paraId="3F11EBA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3388C3D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14:paraId="7C8B5A5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14:paraId="4BC976A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0.10</w:t>
            </w:r>
          </w:p>
        </w:tc>
        <w:tc>
          <w:tcPr>
            <w:tcW w:w="1217" w:type="dxa"/>
            <w:tcBorders>
              <w:top w:val="nil"/>
              <w:left w:val="nil"/>
              <w:bottom w:val="single" w:sz="4" w:space="0" w:color="auto"/>
              <w:right w:val="single" w:sz="4" w:space="0" w:color="auto"/>
            </w:tcBorders>
            <w:shd w:val="clear" w:color="auto" w:fill="auto"/>
            <w:noWrap/>
            <w:vAlign w:val="center"/>
          </w:tcPr>
          <w:p w14:paraId="AF45A3D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14:paraId="2456DA3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14:paraId="4237CE5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9380797E">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FFBF67A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14:paraId="F903749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14:paraId="0E00924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36A9F35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14:paraId="13D9B45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14:paraId="5720FD0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EC7F912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14:paraId="D8AE3B7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14:paraId="B93D441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E0890D2B">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80AC27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14:paraId="20EA25C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14:paraId="263D790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A441642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14:paraId="8B4352A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14:paraId="507A1E9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8C4A5A0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14:paraId="535295F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7043950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0B072164">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C1B56F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14:paraId="B9FBB60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14:paraId="45FEDEF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66F8DB5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14:paraId="C3CEB61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14:paraId="818830B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0.22</w:t>
            </w:r>
          </w:p>
        </w:tc>
        <w:tc>
          <w:tcPr>
            <w:tcW w:w="1217" w:type="dxa"/>
            <w:tcBorders>
              <w:top w:val="nil"/>
              <w:left w:val="nil"/>
              <w:bottom w:val="single" w:sz="4" w:space="0" w:color="auto"/>
              <w:right w:val="single" w:sz="4" w:space="0" w:color="auto"/>
            </w:tcBorders>
            <w:shd w:val="clear" w:color="auto" w:fill="auto"/>
            <w:noWrap/>
            <w:vAlign w:val="center"/>
          </w:tcPr>
          <w:p w14:paraId="6E1D00B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14:paraId="EBFE982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14:paraId="AB20F92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488717B4">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1A8482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14:paraId="A33B167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14:paraId="9738A09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AD6162D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14:paraId="75F6F7E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14:paraId="5F7697E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AC2F335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14:paraId="32E9CF2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14:paraId="AAC3D2F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4141696F">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9E60E4E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14:paraId="A2362E0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14:paraId="9ABD6F1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A7CE691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14:paraId="F0FDF59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14:paraId="F8EFA45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0.45</w:t>
            </w:r>
          </w:p>
        </w:tc>
        <w:tc>
          <w:tcPr>
            <w:tcW w:w="1217" w:type="dxa"/>
            <w:tcBorders>
              <w:top w:val="nil"/>
              <w:left w:val="nil"/>
              <w:bottom w:val="single" w:sz="4" w:space="0" w:color="auto"/>
              <w:right w:val="single" w:sz="4" w:space="0" w:color="auto"/>
            </w:tcBorders>
            <w:shd w:val="clear" w:color="auto" w:fill="auto"/>
            <w:noWrap/>
            <w:vAlign w:val="center"/>
          </w:tcPr>
          <w:p w14:paraId="41340AF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14:paraId="AC46AA3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14:paraId="84F07D5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9160C4C3">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F68180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14:paraId="EEDB2D1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14:paraId="2568CAA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E752A84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14:paraId="177096C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14:paraId="E1ED910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3BE60B4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14:paraId="9659587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86BB4BF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19805415">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CD40D7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14:paraId="29D4697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D97D1FF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76D478E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14:paraId="F96783F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14:paraId="8AC96CB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D25F2A0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14:paraId="AA57750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14:paraId="CC69C56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4A2B8C27">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E5B15C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14:paraId="26AF2F5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14:paraId="6ADC910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368371C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14:paraId="5DBBF95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14:paraId="BC132C1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0.02</w:t>
            </w:r>
          </w:p>
        </w:tc>
        <w:tc>
          <w:tcPr>
            <w:tcW w:w="1217" w:type="dxa"/>
            <w:tcBorders>
              <w:top w:val="nil"/>
              <w:left w:val="nil"/>
              <w:bottom w:val="single" w:sz="4" w:space="0" w:color="auto"/>
              <w:right w:val="single" w:sz="4" w:space="0" w:color="auto"/>
            </w:tcBorders>
            <w:shd w:val="clear" w:color="auto" w:fill="auto"/>
            <w:noWrap/>
            <w:vAlign w:val="center"/>
          </w:tcPr>
          <w:p w14:paraId="D6DA9BF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14:paraId="CD2EA47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14:paraId="D07AF9F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A8F9CDE6">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0820CE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14:paraId="B558A29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14:paraId="C911276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7B4C62E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14:paraId="095DDBE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14:paraId="0CFF165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D01EE59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14:paraId="FBEE5B4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613A089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C3E8B90C">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CF19C8B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14:paraId="E279803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14:paraId="EF6F865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6F82E5C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14:paraId="7B1566E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14:paraId="4EE500A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B72F9C9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14:paraId="D0C1EC9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3CC6986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6CDB2D88">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4DDCA6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14:paraId="BA82B81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14:paraId="03714C2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34B9A80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14:paraId="DE991C7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14:paraId="2AD3CBA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A1F12A0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14:paraId="FBC4436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14:paraId="B0C34C8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2AF19946">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F6714F0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14:paraId="5B60236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14:paraId="00C7C9A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6EAB865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14:paraId="9EB221E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14:paraId="78CEBE8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2C0C1BE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14:paraId="6BE6A2D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14:paraId="312DE6D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32EF5E3B">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65FC31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14:paraId="6F7F233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14:paraId="B03A236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DBF8E5D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14:paraId="544B403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14:paraId="00CDB4C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0.08</w:t>
            </w:r>
          </w:p>
        </w:tc>
        <w:tc>
          <w:tcPr>
            <w:tcW w:w="1217" w:type="dxa"/>
            <w:tcBorders>
              <w:top w:val="nil"/>
              <w:left w:val="nil"/>
              <w:bottom w:val="single" w:sz="4" w:space="0" w:color="auto"/>
              <w:right w:val="single" w:sz="4" w:space="0" w:color="auto"/>
            </w:tcBorders>
            <w:shd w:val="clear" w:color="auto" w:fill="auto"/>
            <w:noWrap/>
            <w:vAlign w:val="center"/>
          </w:tcPr>
          <w:p w14:paraId="6E72C97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14:paraId="A93424D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E81181E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FF9C521B">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C7835FE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14:paraId="9639319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14:paraId="D5DCD28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0946E5D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14:paraId="704C1F2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14:paraId="0C5E8D1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E410FE8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14:paraId="744116B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1BD2BEE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60F7D4A2">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2DB61D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14:paraId="FBB58D4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14:paraId="160D28E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053637C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14:paraId="8661E81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14:paraId="6F8386F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0.63</w:t>
            </w:r>
          </w:p>
        </w:tc>
        <w:tc>
          <w:tcPr>
            <w:tcW w:w="1217" w:type="dxa"/>
            <w:tcBorders>
              <w:top w:val="nil"/>
              <w:left w:val="nil"/>
              <w:bottom w:val="single" w:sz="4" w:space="0" w:color="auto"/>
              <w:right w:val="single" w:sz="4" w:space="0" w:color="auto"/>
            </w:tcBorders>
            <w:shd w:val="clear" w:color="auto" w:fill="auto"/>
            <w:noWrap/>
            <w:vAlign w:val="center"/>
          </w:tcPr>
          <w:p w14:paraId="6A58983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14:paraId="753AC2D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FA9583F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BA05BA0A">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DFE07C1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14:paraId="5CDBCBE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14:paraId="6D90112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5745CE6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14:paraId="DAB07CD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14:paraId="C12302E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0.23</w:t>
            </w:r>
          </w:p>
        </w:tc>
        <w:tc>
          <w:tcPr>
            <w:tcW w:w="1217" w:type="dxa"/>
            <w:tcBorders>
              <w:top w:val="nil"/>
              <w:left w:val="nil"/>
              <w:bottom w:val="single" w:sz="4" w:space="0" w:color="auto"/>
              <w:right w:val="single" w:sz="4" w:space="0" w:color="auto"/>
            </w:tcBorders>
            <w:shd w:val="clear" w:color="auto" w:fill="auto"/>
            <w:noWrap/>
            <w:vAlign w:val="center"/>
          </w:tcPr>
          <w:p w14:paraId="C39A08D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14:paraId="D598484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经常性赠与</w:t>
            </w:r>
          </w:p>
          <w:p w14:paraId="7182162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资本性赠与</w:t>
            </w:r>
          </w:p>
          <w:p w14:paraId="D07ECE47">
            <w:pPr>
              <w:pStyle w:val="style0"/>
              <w:widowControl/>
              <w:jc w:val="left"/>
              <w:rPr>
                <w:rFonts w:ascii="Times New Roman" w:cs="Times New Roman" w:eastAsia="仿宋_GB2312" w:hAnsi="Times New Roman"/>
                <w:color w:val="000000"/>
                <w:kern w:val="0"/>
                <w:szCs w:val="20"/>
              </w:rPr>
            </w:pPr>
          </w:p>
          <w:tbl>
            <w:tblPr>
              <w:tblW w:w="3946" w:type="dxa"/>
              <w:tblLayout w:type="fixed"/>
              <w:tblLook w:val="04A0" w:firstRow="1" w:lastRow="0" w:firstColumn="1" w:lastColumn="0" w:noHBand="0" w:noVBand="1"/>
            </w:tblPr>
            <w:tblGrid>
              <w:gridCol w:w="3946"/>
            </w:tblGrid>
            <w:tr w14:paraId="47913527">
              <w:trPr>
                <w:trHeight w:val="252" w:hRule="atLeast"/>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CE553DC2">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w:t>
                  </w:r>
                  <w:r>
                    <w:rPr>
                      <w:rFonts w:ascii="Times New Roman" w:cs="Times New Roman" w:eastAsia="仿宋_GB2312" w:hAnsi="Times New Roman"/>
                      <w:color w:val="000000"/>
                      <w:kern w:val="0"/>
                      <w:sz w:val="20"/>
                      <w:szCs w:val="20"/>
                    </w:rPr>
                    <w:t>经常性赠与</w:t>
                  </w:r>
                </w:p>
              </w:tc>
            </w:tr>
            <w:tr w14:paraId="71B330B1">
              <w:tblPrEx/>
              <w:trPr>
                <w:trHeight w:val="252" w:hRule="atLeast"/>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A0B92631">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w:t>
                  </w:r>
                  <w:r>
                    <w:rPr>
                      <w:rFonts w:ascii="Times New Roman" w:cs="Times New Roman" w:eastAsia="仿宋_GB2312" w:hAnsi="Times New Roman"/>
                      <w:color w:val="000000"/>
                      <w:kern w:val="0"/>
                      <w:sz w:val="20"/>
                      <w:szCs w:val="20"/>
                    </w:rPr>
                    <w:t>资本性赠与</w:t>
                  </w:r>
                </w:p>
              </w:tc>
            </w:tr>
          </w:tbl>
          <w:p w14:paraId="63E7AD75">
            <w:pPr>
              <w:pStyle w:val="style0"/>
              <w:widowControl/>
              <w:jc w:val="left"/>
              <w:rPr>
                <w:rFonts w:ascii="Times New Roman" w:cs="Times New Roman" w:eastAsia="仿宋_GB2312" w:hAnsi="Times New Roman"/>
                <w:color w:val="000000"/>
                <w:kern w:val="0"/>
                <w:szCs w:val="20"/>
              </w:rPr>
            </w:pPr>
          </w:p>
          <w:tbl>
            <w:tblPr>
              <w:tblW w:w="3946" w:type="dxa"/>
              <w:tblLayout w:type="fixed"/>
              <w:tblLook w:val="04A0" w:firstRow="1" w:lastRow="0" w:firstColumn="1" w:lastColumn="0" w:noHBand="0" w:noVBand="1"/>
            </w:tblPr>
            <w:tblGrid>
              <w:gridCol w:w="3946"/>
            </w:tblGrid>
            <w:tr w14:paraId="DCAEDA92">
              <w:trPr>
                <w:trHeight w:val="252" w:hRule="atLeast"/>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B680F">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w:t>
                  </w:r>
                  <w:r>
                    <w:rPr>
                      <w:rFonts w:ascii="Times New Roman" w:cs="Times New Roman" w:eastAsia="仿宋_GB2312" w:hAnsi="Times New Roman"/>
                      <w:color w:val="000000"/>
                      <w:kern w:val="0"/>
                      <w:sz w:val="20"/>
                      <w:szCs w:val="20"/>
                    </w:rPr>
                    <w:t>经常性赠与</w:t>
                  </w:r>
                </w:p>
              </w:tc>
            </w:tr>
            <w:tr w14:paraId="03AF3B0B">
              <w:tblPrEx/>
              <w:trPr>
                <w:trHeight w:val="252" w:hRule="atLeast"/>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90C82FA1">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w:t>
                  </w:r>
                  <w:r>
                    <w:rPr>
                      <w:rFonts w:ascii="Times New Roman" w:cs="Times New Roman" w:eastAsia="仿宋_GB2312" w:hAnsi="Times New Roman"/>
                      <w:color w:val="000000"/>
                      <w:kern w:val="0"/>
                      <w:sz w:val="20"/>
                      <w:szCs w:val="20"/>
                    </w:rPr>
                    <w:t>资本性赠与</w:t>
                  </w:r>
                </w:p>
              </w:tc>
            </w:tr>
          </w:tbl>
          <w:p w14:paraId="0D7F8563">
            <w:pPr>
              <w:pStyle w:val="style0"/>
              <w:widowControl/>
              <w:jc w:val="left"/>
              <w:rPr>
                <w:rFonts w:ascii="Times New Roman" w:cs="Times New Roman" w:eastAsia="仿宋_GB2312" w:hAnsi="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14:paraId="BCF5057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F9F49215">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8457146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14:paraId="220969D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14:paraId="DC18224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B33A088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14:paraId="589FE91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79D8450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F4122AE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14:paraId="C6B280D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14:paraId="6B44CD0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053AF116">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88430EE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14:paraId="202C2ED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14:paraId="43F9B48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D1B2C0C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14:paraId="C59E0F4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14:paraId="6ACBF6A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D392BC8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14:paraId="55337AE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2DC3C08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75472169">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3DEECC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14:paraId="358BC70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14:paraId="8262BA3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1BD5D9E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14:paraId="B4DDDA9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14:paraId="1EE41F2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F5AFEDE7">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p>
        </w:tc>
        <w:tc>
          <w:tcPr>
            <w:tcW w:w="3517" w:type="dxa"/>
            <w:tcBorders>
              <w:top w:val="nil"/>
              <w:left w:val="nil"/>
              <w:bottom w:val="single" w:sz="4" w:space="0" w:color="auto"/>
              <w:right w:val="single" w:sz="4" w:space="0" w:color="auto"/>
            </w:tcBorders>
            <w:shd w:val="clear" w:color="auto" w:fill="auto"/>
            <w:noWrap/>
            <w:vAlign w:val="center"/>
          </w:tcPr>
          <w:p w14:paraId="1F917FF2">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p>
        </w:tc>
        <w:tc>
          <w:tcPr>
            <w:tcW w:w="929" w:type="dxa"/>
            <w:tcBorders>
              <w:top w:val="nil"/>
              <w:left w:val="nil"/>
              <w:bottom w:val="single" w:sz="4" w:space="0" w:color="auto"/>
              <w:right w:val="single" w:sz="4" w:space="0" w:color="auto"/>
            </w:tcBorders>
            <w:shd w:val="clear" w:color="auto" w:fill="auto"/>
            <w:noWrap/>
            <w:vAlign w:val="center"/>
          </w:tcPr>
          <w:p w14:paraId="C475FED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ABF1344C">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A4803B0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2850" w:type="dxa"/>
            <w:tcBorders>
              <w:top w:val="nil"/>
              <w:left w:val="nil"/>
              <w:bottom w:val="single" w:sz="4" w:space="0" w:color="auto"/>
              <w:right w:val="single" w:sz="4" w:space="0" w:color="auto"/>
            </w:tcBorders>
            <w:shd w:val="clear" w:color="auto" w:fill="auto"/>
            <w:noWrap/>
            <w:vAlign w:val="center"/>
          </w:tcPr>
          <w:p w14:paraId="15DFE64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966" w:type="dxa"/>
            <w:tcBorders>
              <w:top w:val="nil"/>
              <w:left w:val="nil"/>
              <w:bottom w:val="single" w:sz="4" w:space="0" w:color="auto"/>
              <w:right w:val="single" w:sz="4" w:space="0" w:color="auto"/>
            </w:tcBorders>
            <w:shd w:val="clear" w:color="auto" w:fill="auto"/>
            <w:noWrap/>
            <w:vAlign w:val="center"/>
          </w:tcPr>
          <w:p w14:paraId="F797358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6" w:type="dxa"/>
            <w:tcBorders>
              <w:top w:val="nil"/>
              <w:left w:val="nil"/>
              <w:bottom w:val="single" w:sz="4" w:space="0" w:color="auto"/>
              <w:right w:val="single" w:sz="4" w:space="0" w:color="auto"/>
            </w:tcBorders>
            <w:shd w:val="clear" w:color="auto" w:fill="auto"/>
            <w:noWrap/>
            <w:vAlign w:val="center"/>
          </w:tcPr>
          <w:p w14:paraId="18BDA31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14:paraId="FE1DD6E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w:t>
            </w:r>
            <w:r>
              <w:rPr>
                <w:rFonts w:ascii="Times New Roman" w:cs="Times New Roman" w:eastAsia="仿宋_GB2312" w:hAnsi="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14:paraId="00D71BF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217" w:type="dxa"/>
            <w:tcBorders>
              <w:top w:val="nil"/>
              <w:left w:val="nil"/>
              <w:bottom w:val="single" w:sz="4" w:space="0" w:color="auto"/>
              <w:right w:val="single" w:sz="4" w:space="0" w:color="auto"/>
            </w:tcBorders>
            <w:shd w:val="clear" w:color="auto" w:fill="auto"/>
            <w:noWrap/>
            <w:vAlign w:val="center"/>
          </w:tcPr>
          <w:p w14:paraId="8660B541">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p>
        </w:tc>
        <w:tc>
          <w:tcPr>
            <w:tcW w:w="3517" w:type="dxa"/>
            <w:tcBorders>
              <w:top w:val="nil"/>
              <w:left w:val="nil"/>
              <w:bottom w:val="single" w:sz="4" w:space="0" w:color="auto"/>
              <w:right w:val="single" w:sz="4" w:space="0" w:color="auto"/>
            </w:tcBorders>
            <w:shd w:val="clear" w:color="auto" w:fill="auto"/>
            <w:noWrap/>
            <w:vAlign w:val="center"/>
          </w:tcPr>
          <w:p w14:paraId="7A23FDB6">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p>
        </w:tc>
        <w:tc>
          <w:tcPr>
            <w:tcW w:w="929" w:type="dxa"/>
            <w:tcBorders>
              <w:top w:val="nil"/>
              <w:left w:val="nil"/>
              <w:bottom w:val="single" w:sz="4" w:space="0" w:color="auto"/>
              <w:right w:val="single" w:sz="4" w:space="0" w:color="auto"/>
            </w:tcBorders>
            <w:shd w:val="clear" w:color="auto" w:fill="auto"/>
            <w:noWrap/>
            <w:vAlign w:val="center"/>
          </w:tcPr>
          <w:p w14:paraId="1DE7322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r>
      <w:tr w14:paraId="4AC69405">
        <w:tblPrEx/>
        <w:trPr>
          <w:trHeight w:val="255" w:hRule="exact"/>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5DB976">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14:paraId="90226B6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r>
              <w:rPr>
                <w:rFonts w:ascii="Times New Roman" w:cs="Times New Roman" w:eastAsia="仿宋_GB2312" w:hAnsi="Times New Roman"/>
                <w:color w:val="000000"/>
                <w:kern w:val="0"/>
                <w:szCs w:val="20"/>
                <w:lang w:val="en-US"/>
              </w:rPr>
              <w:t>22.42</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71C898F0">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8706B5A5">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r>
              <w:rPr>
                <w:rFonts w:ascii="Times New Roman" w:cs="Times New Roman" w:eastAsia="仿宋_GB2312" w:hAnsi="Times New Roman"/>
                <w:color w:val="000000"/>
                <w:kern w:val="0"/>
                <w:szCs w:val="18"/>
                <w:lang w:val="en-US"/>
              </w:rPr>
              <w:t>6.84</w:t>
            </w:r>
          </w:p>
        </w:tc>
      </w:tr>
    </w:tbl>
    <w:p w14:paraId="B0C0E57D">
      <w:pPr>
        <w:pStyle w:val="style0"/>
        <w:widowControl/>
        <w:jc w:val="left"/>
        <w:rPr>
          <w:rFonts w:ascii="Times New Roman" w:cs="Times New Roman" w:eastAsia="仿宋_GB2312" w:hAnsi="Times New Roman"/>
          <w:color w:val="000000"/>
          <w:kern w:val="0"/>
          <w:szCs w:val="24"/>
        </w:rPr>
      </w:pPr>
      <w:r>
        <w:rPr>
          <w:rFonts w:ascii="Times New Roman" w:cs="Times New Roman" w:eastAsia="仿宋_GB2312" w:hAnsi="Times New Roman"/>
          <w:color w:val="000000"/>
          <w:kern w:val="0"/>
          <w:szCs w:val="24"/>
        </w:rPr>
        <w:t>注：本表反映部门本年度一般公共预算财政拨款基本支出明细情况。</w:t>
      </w:r>
    </w:p>
    <w:p w14:paraId="990EACCB">
      <w:pPr>
        <w:pStyle w:val="style0"/>
        <w:widowControl/>
        <w:spacing w:lineRule="exact" w:line="400"/>
        <w:jc w:val="center"/>
        <w:textAlignment w:val="center"/>
        <w:rPr>
          <w:rFonts w:ascii="Times New Roman" w:cs="Times New Roman" w:eastAsia="仿宋_GB2312" w:hAnsi="Times New Roman"/>
          <w:color w:val="000000"/>
          <w:kern w:val="0"/>
          <w:sz w:val="32"/>
          <w:szCs w:val="32"/>
        </w:rPr>
      </w:pPr>
    </w:p>
    <w:p w14:paraId="34412EE3">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政府性基金预算财政拨款收入支出决算表</w:t>
      </w:r>
    </w:p>
    <w:p w14:paraId="6D0AD910">
      <w:pPr>
        <w:pStyle w:val="style0"/>
        <w:widowControl/>
        <w:tabs>
          <w:tab w:val="left" w:leader="none" w:pos="920"/>
          <w:tab w:val="left" w:leader="none" w:pos="1157"/>
          <w:tab w:val="left" w:leader="none" w:pos="2434"/>
          <w:tab w:val="left" w:leader="none" w:pos="4352"/>
          <w:tab w:val="left" w:leader="none" w:pos="6295"/>
          <w:tab w:val="left" w:leader="none" w:pos="8214"/>
          <w:tab w:val="left" w:leader="none" w:pos="10149"/>
          <w:tab w:val="left" w:leader="none" w:pos="12067"/>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kern w:val="0"/>
          <w:sz w:val="20"/>
          <w:szCs w:val="20"/>
        </w:rPr>
        <w:t>公开</w:t>
      </w:r>
      <w:r>
        <w:rPr>
          <w:rFonts w:ascii="Times New Roman" w:cs="Times New Roman" w:eastAsia="仿宋_GB2312" w:hAnsi="Times New Roman"/>
          <w:color w:val="000000"/>
          <w:kern w:val="0"/>
          <w:sz w:val="20"/>
          <w:szCs w:val="20"/>
        </w:rPr>
        <w:t>07</w:t>
      </w:r>
      <w:r>
        <w:rPr>
          <w:rFonts w:ascii="Times New Roman" w:cs="Times New Roman" w:eastAsia="仿宋_GB2312" w:hAnsi="Times New Roman"/>
          <w:color w:val="000000"/>
          <w:kern w:val="0"/>
          <w:sz w:val="20"/>
          <w:szCs w:val="20"/>
        </w:rPr>
        <w:t>表</w:t>
      </w:r>
    </w:p>
    <w:p w14:paraId="55FB963A">
      <w:pPr>
        <w:pStyle w:val="style0"/>
        <w:widowControl/>
        <w:tabs>
          <w:tab w:val="left" w:leader="none" w:pos="920"/>
          <w:tab w:val="left" w:leader="none" w:pos="1157"/>
          <w:tab w:val="left" w:leader="none" w:pos="2434"/>
          <w:tab w:val="left" w:leader="none" w:pos="4352"/>
          <w:tab w:val="left" w:leader="none" w:pos="6295"/>
          <w:tab w:val="left" w:leader="none" w:pos="8214"/>
          <w:tab w:val="left" w:leader="none" w:pos="10149"/>
          <w:tab w:val="left" w:leader="none" w:pos="12067"/>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14:paraId="6ED284D0">
        <w:trPr>
          <w:trHeight w:val="459" w:hRule="atLeast"/>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9DC893EA">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项</w:t>
            </w:r>
            <w:r>
              <w:rPr>
                <w:rFonts w:ascii="Times New Roman" w:cs="Times New Roman" w:eastAsia="仿宋_GB2312" w:hAnsi="Times New Roman"/>
                <w:b/>
                <w:bCs/>
                <w:color w:val="000000"/>
                <w:kern w:val="0"/>
                <w:sz w:val="24"/>
                <w:szCs w:val="24"/>
              </w:rPr>
              <w:t xml:space="preserve"> </w:t>
            </w:r>
            <w:r>
              <w:rPr>
                <w:rStyle w:val="style4101"/>
                <w:rFonts w:ascii="Times New Roman" w:cs="Times New Roman" w:eastAsia="仿宋_GB2312" w:hAnsi="Times New Roman" w:hint="default"/>
                <w:b/>
                <w:bCs/>
              </w:rPr>
              <w:t xml:space="preserve">   </w:t>
            </w:r>
            <w:r>
              <w:rPr>
                <w:rStyle w:val="style4102"/>
                <w:rFonts w:ascii="Times New Roman" w:cs="Times New Roman" w:eastAsia="仿宋_GB2312" w:hAnsi="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ADF2FC">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06B22C">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AE3D74">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60B22">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年末结转和结余</w:t>
            </w:r>
          </w:p>
        </w:tc>
      </w:tr>
      <w:tr w14:paraId="DE428417">
        <w:tblPrEx/>
        <w:trPr>
          <w:trHeight w:val="312" w:hRule="exact"/>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85022216">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512CAA">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科目名称</w:t>
            </w:r>
          </w:p>
        </w:tc>
        <w:tc>
          <w:tcPr>
            <w:tcW w:w="1918"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8E6EDBAF">
            <w:pPr>
              <w:pStyle w:val="style0"/>
              <w:widowControl/>
              <w:jc w:val="center"/>
              <w:rPr>
                <w:rFonts w:ascii="Times New Roman" w:cs="Times New Roman" w:eastAsia="仿宋_GB2312" w:hAnsi="Times New Roman"/>
                <w:b/>
                <w:bCs/>
                <w:color w:val="000000"/>
                <w:sz w:val="24"/>
                <w:szCs w:val="24"/>
              </w:rPr>
            </w:pPr>
          </w:p>
        </w:tc>
        <w:tc>
          <w:tcPr>
            <w:tcW w:w="1943"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D944220">
            <w:pPr>
              <w:pStyle w:val="style0"/>
              <w:widowControl/>
              <w:jc w:val="center"/>
              <w:rPr>
                <w:rFonts w:ascii="Times New Roman" w:cs="Times New Roman" w:eastAsia="仿宋_GB2312" w:hAnsi="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290784">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8950B67B">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基本支出</w:t>
            </w:r>
            <w:r>
              <w:rPr>
                <w:rFonts w:ascii="Times New Roman" w:cs="Times New Roman" w:eastAsia="仿宋_GB2312" w:hAnsi="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8DBBB9B3">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项目支出</w:t>
            </w: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594AB90">
            <w:pPr>
              <w:pStyle w:val="style0"/>
              <w:widowControl/>
              <w:jc w:val="center"/>
              <w:rPr>
                <w:rFonts w:ascii="Times New Roman" w:cs="Times New Roman" w:eastAsia="仿宋_GB2312" w:hAnsi="Times New Roman"/>
                <w:color w:val="000000"/>
                <w:sz w:val="24"/>
                <w:szCs w:val="24"/>
              </w:rPr>
            </w:pPr>
          </w:p>
        </w:tc>
      </w:tr>
      <w:tr w14:paraId="AFB51CED">
        <w:tblPrEx/>
        <w:trPr>
          <w:trHeight w:val="409" w:hRule="atLeast"/>
          <w:jc w:val="center"/>
        </w:trPr>
        <w:tc>
          <w:tcPr>
            <w:tcW w:w="149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8A7EF29D">
            <w:pPr>
              <w:pStyle w:val="style0"/>
              <w:jc w:val="center"/>
              <w:rPr>
                <w:rFonts w:ascii="Times New Roman" w:cs="Times New Roman" w:eastAsia="仿宋_GB2312" w:hAnsi="Times New Roman"/>
                <w:color w:val="000000"/>
                <w:sz w:val="24"/>
                <w:szCs w:val="24"/>
              </w:rPr>
            </w:pPr>
          </w:p>
        </w:tc>
        <w:tc>
          <w:tcPr>
            <w:tcW w:w="127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A46D3C34">
            <w:pPr>
              <w:pStyle w:val="style0"/>
              <w:jc w:val="center"/>
              <w:rPr>
                <w:rFonts w:ascii="Times New Roman" w:cs="Times New Roman" w:eastAsia="仿宋_GB2312" w:hAnsi="Times New Roman"/>
                <w:color w:val="000000"/>
                <w:sz w:val="24"/>
                <w:szCs w:val="24"/>
              </w:rPr>
            </w:pPr>
          </w:p>
        </w:tc>
        <w:tc>
          <w:tcPr>
            <w:tcW w:w="1918"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A5A149D7">
            <w:pPr>
              <w:pStyle w:val="style0"/>
              <w:jc w:val="center"/>
              <w:rPr>
                <w:rFonts w:ascii="Times New Roman" w:cs="Times New Roman" w:eastAsia="仿宋_GB2312" w:hAnsi="Times New Roman"/>
                <w:color w:val="000000"/>
                <w:sz w:val="24"/>
                <w:szCs w:val="24"/>
              </w:rPr>
            </w:pPr>
          </w:p>
        </w:tc>
        <w:tc>
          <w:tcPr>
            <w:tcW w:w="1943"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A679FDA6">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7CB9B135">
            <w:pPr>
              <w:pStyle w:val="style0"/>
              <w:jc w:val="center"/>
              <w:rPr>
                <w:rFonts w:ascii="Times New Roman" w:cs="Times New Roman" w:eastAsia="仿宋_GB2312" w:hAnsi="Times New Roman"/>
                <w:color w:val="000000"/>
                <w:sz w:val="24"/>
                <w:szCs w:val="24"/>
              </w:rPr>
            </w:pPr>
          </w:p>
        </w:tc>
        <w:tc>
          <w:tcPr>
            <w:tcW w:w="193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FE3B3483">
            <w:pPr>
              <w:pStyle w:val="style0"/>
              <w:jc w:val="center"/>
              <w:rPr>
                <w:rFonts w:ascii="Times New Roman" w:cs="Times New Roman" w:eastAsia="仿宋_GB2312" w:hAnsi="Times New Roman"/>
                <w:color w:val="000000"/>
                <w:sz w:val="24"/>
                <w:szCs w:val="24"/>
              </w:rPr>
            </w:pPr>
          </w:p>
        </w:tc>
        <w:tc>
          <w:tcPr>
            <w:tcW w:w="1918"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930E0764">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9CB572B">
            <w:pPr>
              <w:pStyle w:val="style0"/>
              <w:jc w:val="center"/>
              <w:rPr>
                <w:rFonts w:ascii="Times New Roman" w:cs="Times New Roman" w:eastAsia="仿宋_GB2312" w:hAnsi="Times New Roman"/>
                <w:color w:val="000000"/>
                <w:sz w:val="24"/>
                <w:szCs w:val="24"/>
              </w:rPr>
            </w:pPr>
          </w:p>
        </w:tc>
      </w:tr>
      <w:tr w14:paraId="5EEAFEE4">
        <w:tblPrEx/>
        <w:trPr>
          <w:trHeight w:val="312" w:hRule="atLeast"/>
          <w:jc w:val="center"/>
        </w:trPr>
        <w:tc>
          <w:tcPr>
            <w:tcW w:w="149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DB29B89B">
            <w:pPr>
              <w:pStyle w:val="style0"/>
              <w:jc w:val="center"/>
              <w:rPr>
                <w:rFonts w:ascii="Times New Roman" w:cs="Times New Roman" w:eastAsia="仿宋_GB2312" w:hAnsi="Times New Roman"/>
                <w:color w:val="000000"/>
                <w:sz w:val="24"/>
                <w:szCs w:val="24"/>
              </w:rPr>
            </w:pPr>
          </w:p>
        </w:tc>
        <w:tc>
          <w:tcPr>
            <w:tcW w:w="1277"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BF7DC17B">
            <w:pPr>
              <w:pStyle w:val="style0"/>
              <w:jc w:val="center"/>
              <w:rPr>
                <w:rFonts w:ascii="Times New Roman" w:cs="Times New Roman" w:eastAsia="仿宋_GB2312" w:hAnsi="Times New Roman"/>
                <w:color w:val="000000"/>
                <w:sz w:val="24"/>
                <w:szCs w:val="24"/>
              </w:rPr>
            </w:pPr>
          </w:p>
        </w:tc>
        <w:tc>
          <w:tcPr>
            <w:tcW w:w="1918"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9DA33B78">
            <w:pPr>
              <w:pStyle w:val="style0"/>
              <w:jc w:val="center"/>
              <w:rPr>
                <w:rFonts w:ascii="Times New Roman" w:cs="Times New Roman" w:eastAsia="仿宋_GB2312" w:hAnsi="Times New Roman"/>
                <w:color w:val="000000"/>
                <w:sz w:val="24"/>
                <w:szCs w:val="24"/>
              </w:rPr>
            </w:pPr>
          </w:p>
        </w:tc>
        <w:tc>
          <w:tcPr>
            <w:tcW w:w="1943"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4767B99">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FE183F2">
            <w:pPr>
              <w:pStyle w:val="style0"/>
              <w:jc w:val="center"/>
              <w:rPr>
                <w:rFonts w:ascii="Times New Roman" w:cs="Times New Roman" w:eastAsia="仿宋_GB2312" w:hAnsi="Times New Roman"/>
                <w:color w:val="000000"/>
                <w:sz w:val="24"/>
                <w:szCs w:val="24"/>
              </w:rPr>
            </w:pPr>
          </w:p>
        </w:tc>
        <w:tc>
          <w:tcPr>
            <w:tcW w:w="193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782854CE">
            <w:pPr>
              <w:pStyle w:val="style0"/>
              <w:jc w:val="center"/>
              <w:rPr>
                <w:rFonts w:ascii="Times New Roman" w:cs="Times New Roman" w:eastAsia="仿宋_GB2312" w:hAnsi="Times New Roman"/>
                <w:color w:val="000000"/>
                <w:sz w:val="24"/>
                <w:szCs w:val="24"/>
              </w:rPr>
            </w:pPr>
          </w:p>
        </w:tc>
        <w:tc>
          <w:tcPr>
            <w:tcW w:w="1918"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EC6CE4F8">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67B47F5">
            <w:pPr>
              <w:pStyle w:val="style0"/>
              <w:jc w:val="center"/>
              <w:rPr>
                <w:rFonts w:ascii="Times New Roman" w:cs="Times New Roman" w:eastAsia="仿宋_GB2312" w:hAnsi="Times New Roman"/>
                <w:color w:val="000000"/>
                <w:sz w:val="24"/>
                <w:szCs w:val="24"/>
              </w:rPr>
            </w:pPr>
          </w:p>
        </w:tc>
      </w:tr>
      <w:tr w14:paraId="E299A81C">
        <w:tblPrEx/>
        <w:trPr>
          <w:trHeight w:val="509" w:hRule="atLeast"/>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FDAC014C">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407D2">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8306B820">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4D00">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EF976">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DEFF">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9C2A9800">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6</w:t>
            </w:r>
          </w:p>
        </w:tc>
      </w:tr>
      <w:tr w14:paraId="2E1DED43">
        <w:tblPrEx/>
        <w:trPr>
          <w:trHeight w:val="509" w:hRule="atLeast"/>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D7CD267E">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E7EB5C34">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8E291">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C2821">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FAB85">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9A00BE2B">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D42F">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r>
      <w:tr w14:paraId="BD6C513D">
        <w:tblPrEx/>
        <w:trPr>
          <w:trHeight w:val="509" w:hRule="atLeast"/>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F05A">
            <w:pPr>
              <w:pStyle w:val="style0"/>
              <w:jc w:val="center"/>
              <w:rPr>
                <w:rFonts w:ascii="Times New Roman" w:cs="Times New Roman" w:eastAsia="仿宋_GB2312" w:hAnsi="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07052">
            <w:pPr>
              <w:pStyle w:val="style0"/>
              <w:rPr>
                <w:rFonts w:ascii="Times New Roman" w:cs="Times New Roman" w:eastAsia="仿宋_GB2312" w:hAnsi="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CB35E">
            <w:pPr>
              <w:pStyle w:val="style0"/>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EE2BC">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C9C09D3C">
            <w:pPr>
              <w:pStyle w:val="style0"/>
              <w:rPr>
                <w:rFonts w:ascii="Times New Roman" w:cs="Times New Roman" w:eastAsia="仿宋_GB2312" w:hAnsi="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9FF9">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F09D1A48">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924CCAD9">
            <w:pPr>
              <w:pStyle w:val="style0"/>
              <w:rPr>
                <w:rFonts w:ascii="Times New Roman" w:cs="Times New Roman" w:eastAsia="仿宋_GB2312" w:hAnsi="Times New Roman"/>
                <w:color w:val="000000"/>
                <w:sz w:val="24"/>
                <w:szCs w:val="24"/>
              </w:rPr>
            </w:pPr>
          </w:p>
        </w:tc>
      </w:tr>
      <w:tr w14:paraId="FE0EEFF6">
        <w:tblPrEx/>
        <w:trPr>
          <w:trHeight w:val="509" w:hRule="atLeast"/>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4821A">
            <w:pPr>
              <w:pStyle w:val="style0"/>
              <w:jc w:val="center"/>
              <w:rPr>
                <w:rFonts w:ascii="Times New Roman" w:cs="Times New Roman" w:eastAsia="仿宋_GB2312" w:hAnsi="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DCC5C">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14034">
            <w:pPr>
              <w:pStyle w:val="style0"/>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DA95">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A6D37">
            <w:pPr>
              <w:pStyle w:val="style0"/>
              <w:rPr>
                <w:rFonts w:ascii="Times New Roman" w:cs="Times New Roman" w:eastAsia="仿宋_GB2312" w:hAnsi="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A57A43A0">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D36DC359">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89E4EFED">
            <w:pPr>
              <w:pStyle w:val="style0"/>
              <w:rPr>
                <w:rFonts w:ascii="Times New Roman" w:cs="Times New Roman" w:eastAsia="仿宋_GB2312" w:hAnsi="Times New Roman"/>
                <w:color w:val="000000"/>
                <w:sz w:val="24"/>
                <w:szCs w:val="24"/>
              </w:rPr>
            </w:pPr>
          </w:p>
        </w:tc>
      </w:tr>
      <w:tr w14:paraId="4D7DF41B">
        <w:tblPrEx/>
        <w:trPr>
          <w:trHeight w:val="509" w:hRule="atLeast"/>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C77D2">
            <w:pPr>
              <w:pStyle w:val="style0"/>
              <w:jc w:val="center"/>
              <w:rPr>
                <w:rFonts w:ascii="Times New Roman" w:cs="Times New Roman" w:eastAsia="仿宋_GB2312" w:hAnsi="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8F328CFE">
            <w:pPr>
              <w:pStyle w:val="style0"/>
              <w:rPr>
                <w:rFonts w:ascii="Times New Roman" w:cs="Times New Roman" w:eastAsia="仿宋_GB2312" w:hAnsi="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A29ABBB3">
            <w:pPr>
              <w:pStyle w:val="style0"/>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440B">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A4904F50">
            <w:pPr>
              <w:pStyle w:val="style0"/>
              <w:rPr>
                <w:rFonts w:ascii="Times New Roman" w:cs="Times New Roman" w:eastAsia="仿宋_GB2312" w:hAnsi="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D1047643">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121C">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E97F081D">
            <w:pPr>
              <w:pStyle w:val="style0"/>
              <w:rPr>
                <w:rFonts w:ascii="Times New Roman" w:cs="Times New Roman" w:eastAsia="仿宋_GB2312" w:hAnsi="Times New Roman"/>
                <w:color w:val="000000"/>
                <w:sz w:val="24"/>
                <w:szCs w:val="24"/>
              </w:rPr>
            </w:pPr>
          </w:p>
        </w:tc>
      </w:tr>
      <w:tr w14:paraId="078D5D38">
        <w:tblPrEx/>
        <w:trPr>
          <w:trHeight w:val="509" w:hRule="atLeast"/>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AC932">
            <w:pPr>
              <w:pStyle w:val="style0"/>
              <w:jc w:val="center"/>
              <w:rPr>
                <w:rFonts w:ascii="Times New Roman" w:cs="Times New Roman" w:eastAsia="仿宋_GB2312" w:hAnsi="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A29BF9C2">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8F30272B">
            <w:pPr>
              <w:pStyle w:val="style0"/>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BEEDF006">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62C2E">
            <w:pPr>
              <w:pStyle w:val="style0"/>
              <w:rPr>
                <w:rFonts w:ascii="Times New Roman" w:cs="Times New Roman" w:eastAsia="仿宋_GB2312" w:hAnsi="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C44B">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D769F49B">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FD8C33D2">
            <w:pPr>
              <w:pStyle w:val="style0"/>
              <w:rPr>
                <w:rFonts w:ascii="Times New Roman" w:cs="Times New Roman" w:eastAsia="仿宋_GB2312" w:hAnsi="Times New Roman"/>
                <w:color w:val="000000"/>
                <w:sz w:val="24"/>
                <w:szCs w:val="24"/>
              </w:rPr>
            </w:pPr>
          </w:p>
        </w:tc>
      </w:tr>
      <w:tr w14:paraId="1284F2CE">
        <w:tblPrEx/>
        <w:trPr>
          <w:trHeight w:val="509" w:hRule="atLeast"/>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CF70">
            <w:pPr>
              <w:pStyle w:val="style0"/>
              <w:jc w:val="center"/>
              <w:rPr>
                <w:rFonts w:ascii="Times New Roman" w:cs="Times New Roman" w:eastAsia="仿宋_GB2312" w:hAnsi="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25761">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C4779625">
            <w:pPr>
              <w:pStyle w:val="style0"/>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D866C474">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BAC0F0DF">
            <w:pPr>
              <w:pStyle w:val="style0"/>
              <w:rPr>
                <w:rFonts w:ascii="Times New Roman" w:cs="Times New Roman" w:eastAsia="仿宋_GB2312" w:hAnsi="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0AEA">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FCA744B4">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888E5">
            <w:pPr>
              <w:pStyle w:val="style0"/>
              <w:rPr>
                <w:rFonts w:ascii="Times New Roman" w:cs="Times New Roman" w:eastAsia="仿宋_GB2312" w:hAnsi="Times New Roman"/>
                <w:color w:val="000000"/>
                <w:sz w:val="24"/>
                <w:szCs w:val="24"/>
              </w:rPr>
            </w:pPr>
          </w:p>
        </w:tc>
      </w:tr>
      <w:tr w14:paraId="DF41F355">
        <w:tblPrEx/>
        <w:trPr>
          <w:trHeight w:val="509" w:hRule="atLeast"/>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362E">
            <w:pPr>
              <w:pStyle w:val="style0"/>
              <w:jc w:val="center"/>
              <w:rPr>
                <w:rFonts w:ascii="Times New Roman" w:cs="Times New Roman" w:eastAsia="仿宋_GB2312" w:hAnsi="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8374BD97">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5D59">
            <w:pPr>
              <w:pStyle w:val="style0"/>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7EE54">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AFE1">
            <w:pPr>
              <w:pStyle w:val="style0"/>
              <w:rPr>
                <w:rFonts w:ascii="Times New Roman" w:cs="Times New Roman" w:eastAsia="仿宋_GB2312" w:hAnsi="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2496">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98DC">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91559A9E">
            <w:pPr>
              <w:pStyle w:val="style0"/>
              <w:rPr>
                <w:rFonts w:ascii="Times New Roman" w:cs="Times New Roman" w:eastAsia="仿宋_GB2312" w:hAnsi="Times New Roman"/>
                <w:color w:val="000000"/>
                <w:sz w:val="24"/>
                <w:szCs w:val="24"/>
              </w:rPr>
            </w:pPr>
          </w:p>
        </w:tc>
      </w:tr>
    </w:tbl>
    <w:p w14:paraId="8BBAFD2B">
      <w:pPr>
        <w:pStyle w:val="style0"/>
        <w:widowControl/>
        <w:spacing w:before="120"/>
        <w:jc w:val="left"/>
        <w:textAlignment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注：本表反映部门本年度政府性基金预算财政拨款收入、支出及结转和结余情况。</w:t>
      </w:r>
    </w:p>
    <w:p w14:paraId="C37988F5">
      <w:pPr>
        <w:pStyle w:val="style0"/>
        <w:widowControl/>
        <w:jc w:val="left"/>
        <w:textAlignment w:val="center"/>
        <w:rPr>
          <w:rFonts w:ascii="Times New Roman" w:cs="Times New Roman" w:eastAsia="仿宋_GB2312" w:hAnsi="Times New Roman"/>
          <w:color w:val="000000"/>
          <w:kern w:val="0"/>
          <w:sz w:val="24"/>
          <w:szCs w:val="24"/>
        </w:rPr>
      </w:pPr>
    </w:p>
    <w:p w14:paraId="13BBDC85">
      <w:pPr>
        <w:pStyle w:val="style0"/>
        <w:widowControl/>
        <w:jc w:val="left"/>
        <w:textAlignment w:val="center"/>
        <w:rPr>
          <w:rFonts w:ascii="Times New Roman" w:cs="Times New Roman" w:eastAsia="仿宋_GB2312" w:hAnsi="Times New Roman"/>
          <w:color w:val="000000"/>
          <w:kern w:val="0"/>
          <w:sz w:val="24"/>
          <w:szCs w:val="24"/>
        </w:rPr>
      </w:pPr>
      <w:r>
        <w:rPr>
          <w:rFonts w:ascii="Times New Roman" w:cs="Times New Roman" w:eastAsia="仿宋_GB2312" w:hAnsi="Times New Roman"/>
          <w:b/>
          <w:bCs/>
          <w:kern w:val="0"/>
          <w:sz w:val="24"/>
          <w:szCs w:val="24"/>
        </w:rPr>
        <w:t>说明：我单位没有政府性基金收入，也没有使用政府性基金安排的支出，故本表无数据。（当表格数据为空时，应有此说明）</w:t>
      </w:r>
    </w:p>
    <w:p w14:paraId="7518E0AB">
      <w:pPr>
        <w:pStyle w:val="style0"/>
        <w:widowControl/>
        <w:jc w:val="center"/>
        <w:rPr>
          <w:rFonts w:ascii="Times New Roman" w:cs="Times New Roman" w:eastAsia="方正小标宋_GBK" w:hAnsi="Times New Roman"/>
          <w:color w:val="000000"/>
          <w:kern w:val="0"/>
          <w:sz w:val="36"/>
          <w:szCs w:val="36"/>
        </w:rPr>
      </w:pPr>
    </w:p>
    <w:p w14:paraId="BE259780">
      <w:pPr>
        <w:pStyle w:val="style0"/>
        <w:widowControl/>
        <w:spacing w:lineRule="exact" w:line="400"/>
        <w:textAlignment w:val="center"/>
        <w:rPr>
          <w:rFonts w:ascii="Times New Roman" w:cs="Times New Roman" w:eastAsia="黑体" w:hAnsi="Times New Roman"/>
          <w:color w:val="000000"/>
          <w:kern w:val="0"/>
          <w:sz w:val="36"/>
          <w:szCs w:val="36"/>
        </w:rPr>
      </w:pPr>
    </w:p>
    <w:p w14:paraId="3F7086BB">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国有资本经营预算财政拨款支出决算表</w:t>
      </w:r>
    </w:p>
    <w:p w14:paraId="F534D329">
      <w:pPr>
        <w:pStyle w:val="style0"/>
        <w:widowControl/>
        <w:tabs>
          <w:tab w:val="left" w:leader="none" w:pos="1326"/>
          <w:tab w:val="left" w:leader="none" w:pos="2027"/>
          <w:tab w:val="left" w:leader="none" w:pos="4319"/>
          <w:tab w:val="left" w:leader="none" w:pos="7634"/>
          <w:tab w:val="left" w:leader="none" w:pos="10949"/>
        </w:tabs>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w:t>
      </w:r>
      <w:r>
        <w:rPr>
          <w:rFonts w:ascii="Times New Roman" w:cs="Times New Roman" w:eastAsia="仿宋_GB2312" w:hAnsi="Times New Roman"/>
          <w:color w:val="000000"/>
          <w:kern w:val="0"/>
          <w:sz w:val="20"/>
          <w:szCs w:val="20"/>
        </w:rPr>
        <w:t>公开</w:t>
      </w:r>
      <w:r>
        <w:rPr>
          <w:rFonts w:ascii="Times New Roman" w:cs="Times New Roman" w:eastAsia="仿宋_GB2312" w:hAnsi="Times New Roman"/>
          <w:color w:val="000000"/>
          <w:kern w:val="0"/>
          <w:sz w:val="20"/>
          <w:szCs w:val="20"/>
        </w:rPr>
        <w:t>08</w:t>
      </w:r>
      <w:r>
        <w:rPr>
          <w:rFonts w:ascii="Times New Roman" w:cs="Times New Roman" w:eastAsia="仿宋_GB2312" w:hAnsi="Times New Roman"/>
          <w:color w:val="000000"/>
          <w:kern w:val="0"/>
          <w:sz w:val="20"/>
          <w:szCs w:val="20"/>
        </w:rPr>
        <w:t>表</w:t>
      </w:r>
    </w:p>
    <w:p w14:paraId="35D61A2C">
      <w:pPr>
        <w:pStyle w:val="style0"/>
        <w:widowControl/>
        <w:tabs>
          <w:tab w:val="left" w:leader="none" w:pos="1326"/>
          <w:tab w:val="left" w:leader="none" w:pos="2027"/>
          <w:tab w:val="left" w:leader="none" w:pos="4319"/>
          <w:tab w:val="left" w:leader="none" w:pos="7634"/>
          <w:tab w:val="left" w:leader="none" w:pos="10949"/>
        </w:tabs>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kern w:val="0"/>
          <w:sz w:val="20"/>
          <w:szCs w:val="20"/>
        </w:rPr>
        <w:t>单位：万元</w:t>
      </w:r>
    </w:p>
    <w:tbl>
      <w:tblPr>
        <w:tblW w:w="4999" w:type="pct"/>
        <w:tblLook w:val="04A0" w:firstRow="1" w:lastRow="0" w:firstColumn="1" w:lastColumn="0" w:noHBand="0" w:noVBand="1"/>
      </w:tblPr>
      <w:tblGrid>
        <w:gridCol w:w="3095"/>
        <w:gridCol w:w="3097"/>
        <w:gridCol w:w="1832"/>
        <w:gridCol w:w="3097"/>
        <w:gridCol w:w="3096"/>
      </w:tblGrid>
      <w:tr w14:paraId="F5C96A9D">
        <w:trPr>
          <w:trHeight w:val="548" w:hRule="atLeast"/>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34D0B">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项</w:t>
            </w:r>
            <w:r>
              <w:rPr>
                <w:rFonts w:ascii="Times New Roman" w:cs="Times New Roman" w:eastAsia="仿宋_GB2312" w:hAnsi="Times New Roman"/>
                <w:b/>
                <w:bCs/>
                <w:color w:val="000000"/>
                <w:kern w:val="0"/>
                <w:sz w:val="24"/>
                <w:szCs w:val="24"/>
              </w:rPr>
              <w:t xml:space="preserve"> </w:t>
            </w:r>
            <w:r>
              <w:rPr>
                <w:rFonts w:ascii="Times New Roman" w:cs="Times New Roman" w:eastAsia="仿宋_GB2312" w:hAnsi="Times New Roman"/>
                <w:b/>
                <w:bCs/>
                <w:color w:val="000000"/>
                <w:kern w:val="0"/>
                <w:sz w:val="22"/>
              </w:rPr>
              <w:t xml:space="preserve">   </w:t>
            </w:r>
            <w:r>
              <w:rPr>
                <w:rStyle w:val="style4103"/>
                <w:rFonts w:ascii="Times New Roman" w:cs="Times New Roman" w:eastAsia="仿宋_GB2312" w:hAnsi="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C4ED32B5">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本年支出</w:t>
            </w:r>
          </w:p>
        </w:tc>
      </w:tr>
      <w:tr w14:paraId="22F16ECF">
        <w:tblPrEx/>
        <w:trPr>
          <w:trHeight w:val="312" w:hRule="exact"/>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855E6D70">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CD226017">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B89A4CEB">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6CD108">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基本支出</w:t>
            </w:r>
            <w:r>
              <w:rPr>
                <w:rFonts w:ascii="Times New Roman" w:cs="Times New Roman" w:eastAsia="仿宋_GB2312" w:hAnsi="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41A893">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项目支出</w:t>
            </w:r>
          </w:p>
        </w:tc>
      </w:tr>
      <w:tr w14:paraId="E0CE3ACB">
        <w:tblPrEx/>
        <w:trPr>
          <w:trHeight w:val="312" w:hRule="exact"/>
        </w:trPr>
        <w:tc>
          <w:tcPr>
            <w:tcW w:w="1088"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FD13A79C">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AA5273ED">
            <w:pPr>
              <w:pStyle w:val="style0"/>
              <w:jc w:val="center"/>
              <w:rPr>
                <w:rFonts w:ascii="Times New Roman" w:cs="Times New Roman" w:eastAsia="仿宋_GB2312" w:hAnsi="Times New Roman"/>
                <w:color w:val="000000"/>
                <w:sz w:val="24"/>
                <w:szCs w:val="24"/>
              </w:rPr>
            </w:pPr>
          </w:p>
        </w:tc>
        <w:tc>
          <w:tcPr>
            <w:tcW w:w="6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8AD8B18A">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BE91A93">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6F86E623">
            <w:pPr>
              <w:pStyle w:val="style0"/>
              <w:jc w:val="center"/>
              <w:rPr>
                <w:rFonts w:ascii="Times New Roman" w:cs="Times New Roman" w:eastAsia="仿宋_GB2312" w:hAnsi="Times New Roman"/>
                <w:color w:val="000000"/>
                <w:sz w:val="24"/>
                <w:szCs w:val="24"/>
              </w:rPr>
            </w:pPr>
          </w:p>
        </w:tc>
      </w:tr>
      <w:tr w14:paraId="6013B0FF">
        <w:tblPrEx/>
        <w:trPr>
          <w:trHeight w:val="312" w:hRule="atLeast"/>
        </w:trPr>
        <w:tc>
          <w:tcPr>
            <w:tcW w:w="1088"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BA09CE3F">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815FD425">
            <w:pPr>
              <w:pStyle w:val="style0"/>
              <w:jc w:val="center"/>
              <w:rPr>
                <w:rFonts w:ascii="Times New Roman" w:cs="Times New Roman" w:eastAsia="仿宋_GB2312" w:hAnsi="Times New Roman"/>
                <w:color w:val="000000"/>
                <w:sz w:val="24"/>
                <w:szCs w:val="24"/>
              </w:rPr>
            </w:pPr>
          </w:p>
        </w:tc>
        <w:tc>
          <w:tcPr>
            <w:tcW w:w="6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E789A8FD">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7879FBF7">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99BD76D">
            <w:pPr>
              <w:pStyle w:val="style0"/>
              <w:jc w:val="center"/>
              <w:rPr>
                <w:rFonts w:ascii="Times New Roman" w:cs="Times New Roman" w:eastAsia="仿宋_GB2312" w:hAnsi="Times New Roman"/>
                <w:color w:val="000000"/>
                <w:sz w:val="24"/>
                <w:szCs w:val="24"/>
              </w:rPr>
            </w:pPr>
          </w:p>
        </w:tc>
      </w:tr>
      <w:tr w14:paraId="F9F33403">
        <w:tblPrEx/>
        <w:trPr>
          <w:trHeight w:val="548" w:hRule="atLeast"/>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AF5FF6CE">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FA78779">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38FA8C0">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CEB86CB5">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3</w:t>
            </w:r>
          </w:p>
        </w:tc>
      </w:tr>
      <w:tr w14:paraId="B2E68C03">
        <w:tblPrEx/>
        <w:trPr>
          <w:trHeight w:val="548" w:hRule="atLeast"/>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D9136B58">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12E1E">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A051D">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CF33D">
            <w:pPr>
              <w:pStyle w:val="style0"/>
              <w:jc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sz w:val="24"/>
                <w:szCs w:val="24"/>
                <w:lang w:val="en-US"/>
              </w:rPr>
              <w:t>0</w:t>
            </w:r>
          </w:p>
        </w:tc>
      </w:tr>
      <w:tr w14:paraId="8D451782">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C7F4BB0">
            <w:pPr>
              <w:pStyle w:val="style0"/>
              <w:jc w:val="center"/>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BFB97">
            <w:pPr>
              <w:pStyle w:val="style0"/>
              <w:rPr>
                <w:rFonts w:ascii="Times New Roman" w:cs="Times New Roman" w:eastAsia="仿宋_GB2312" w:hAnsi="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7B9C1">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3DD5080">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931B2">
            <w:pPr>
              <w:pStyle w:val="style0"/>
              <w:rPr>
                <w:rFonts w:ascii="Times New Roman" w:cs="Times New Roman" w:eastAsia="仿宋_GB2312" w:hAnsi="Times New Roman"/>
                <w:color w:val="000000"/>
                <w:sz w:val="24"/>
                <w:szCs w:val="24"/>
              </w:rPr>
            </w:pPr>
          </w:p>
        </w:tc>
      </w:tr>
      <w:tr w14:paraId="793F8C43">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23E7DCE">
            <w:pPr>
              <w:pStyle w:val="style0"/>
              <w:jc w:val="center"/>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756CF">
            <w:pPr>
              <w:pStyle w:val="style0"/>
              <w:rPr>
                <w:rFonts w:ascii="Times New Roman" w:cs="Times New Roman" w:eastAsia="仿宋_GB2312"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8F0D36">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BA3B5E">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D8E6A9B2">
            <w:pPr>
              <w:pStyle w:val="style0"/>
              <w:rPr>
                <w:rFonts w:ascii="Times New Roman" w:cs="Times New Roman" w:eastAsia="仿宋_GB2312" w:hAnsi="Times New Roman"/>
                <w:color w:val="000000"/>
                <w:sz w:val="24"/>
                <w:szCs w:val="24"/>
              </w:rPr>
            </w:pPr>
          </w:p>
        </w:tc>
      </w:tr>
      <w:tr w14:paraId="E40C2BA1">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83D7E4B">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0DC98">
            <w:pPr>
              <w:pStyle w:val="style0"/>
              <w:rPr>
                <w:rFonts w:ascii="Times New Roman" w:cs="Times New Roman" w:eastAsia="宋体" w:hAnsi="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56309F7">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FB591">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AA234">
            <w:pPr>
              <w:pStyle w:val="style0"/>
              <w:rPr>
                <w:rFonts w:ascii="Times New Roman" w:cs="Times New Roman" w:eastAsia="宋体" w:hAnsi="Times New Roman"/>
                <w:color w:val="000000"/>
                <w:sz w:val="24"/>
                <w:szCs w:val="24"/>
              </w:rPr>
            </w:pPr>
          </w:p>
        </w:tc>
      </w:tr>
      <w:tr w14:paraId="D47F46F8">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D207D4B">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D73CA705">
            <w:pPr>
              <w:pStyle w:val="style0"/>
              <w:rPr>
                <w:rFonts w:ascii="Times New Roman" w:cs="Times New Roman" w:eastAsia="宋体"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7E11C06">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128C292">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803A7">
            <w:pPr>
              <w:pStyle w:val="style0"/>
              <w:rPr>
                <w:rFonts w:ascii="Times New Roman" w:cs="Times New Roman" w:eastAsia="宋体" w:hAnsi="Times New Roman"/>
                <w:color w:val="000000"/>
                <w:sz w:val="24"/>
                <w:szCs w:val="24"/>
              </w:rPr>
            </w:pPr>
          </w:p>
        </w:tc>
      </w:tr>
      <w:tr w14:paraId="9C496342">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8304DAD">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F79C1">
            <w:pPr>
              <w:pStyle w:val="style0"/>
              <w:rPr>
                <w:rFonts w:ascii="Times New Roman" w:cs="Times New Roman" w:eastAsia="宋体"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EC3C1">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E295229">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CE830">
            <w:pPr>
              <w:pStyle w:val="style0"/>
              <w:rPr>
                <w:rFonts w:ascii="Times New Roman" w:cs="Times New Roman" w:eastAsia="宋体" w:hAnsi="Times New Roman"/>
                <w:color w:val="000000"/>
                <w:sz w:val="24"/>
                <w:szCs w:val="24"/>
              </w:rPr>
            </w:pPr>
          </w:p>
        </w:tc>
      </w:tr>
      <w:tr w14:paraId="FF851865">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CA8A7C7D">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2FC042B">
            <w:pPr>
              <w:pStyle w:val="style0"/>
              <w:rPr>
                <w:rFonts w:ascii="Times New Roman" w:cs="Times New Roman" w:eastAsia="宋体"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64653">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AAEEE9A1">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C3A96">
            <w:pPr>
              <w:pStyle w:val="style0"/>
              <w:rPr>
                <w:rFonts w:ascii="Times New Roman" w:cs="Times New Roman" w:eastAsia="宋体" w:hAnsi="Times New Roman"/>
                <w:color w:val="000000"/>
                <w:sz w:val="24"/>
                <w:szCs w:val="24"/>
              </w:rPr>
            </w:pPr>
          </w:p>
        </w:tc>
      </w:tr>
    </w:tbl>
    <w:p w14:paraId="B41ACDB2">
      <w:pPr>
        <w:pStyle w:val="style0"/>
        <w:widowControl/>
        <w:spacing w:before="120"/>
        <w:jc w:val="left"/>
        <w:textAlignment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注：本表反映部门本年度国有资本经营预算财政拨款支出情况。</w:t>
      </w:r>
    </w:p>
    <w:p w14:paraId="A073421A">
      <w:pPr>
        <w:pStyle w:val="style0"/>
        <w:widowControl/>
        <w:jc w:val="left"/>
        <w:textAlignment w:val="center"/>
        <w:rPr>
          <w:rFonts w:ascii="Times New Roman" w:cs="Times New Roman" w:eastAsia="宋体" w:hAnsi="Times New Roman"/>
          <w:color w:val="000000"/>
          <w:kern w:val="0"/>
          <w:sz w:val="24"/>
          <w:szCs w:val="24"/>
        </w:rPr>
      </w:pPr>
    </w:p>
    <w:p w14:paraId="BE33D95F">
      <w:pPr>
        <w:pStyle w:val="style0"/>
        <w:widowControl/>
        <w:jc w:val="left"/>
        <w:textAlignment w:val="center"/>
        <w:rPr>
          <w:rFonts w:ascii="Times New Roman" w:cs="Times New Roman" w:eastAsia="楷体_GB2312" w:hAnsi="Times New Roman"/>
          <w:color w:val="000000"/>
          <w:kern w:val="0"/>
          <w:sz w:val="24"/>
          <w:szCs w:val="24"/>
        </w:rPr>
      </w:pPr>
      <w:r>
        <w:rPr>
          <w:rFonts w:ascii="Times New Roman" w:cs="Times New Roman" w:eastAsia="楷体_GB2312" w:hAnsi="Times New Roman"/>
          <w:b/>
          <w:bCs/>
          <w:kern w:val="0"/>
          <w:sz w:val="24"/>
          <w:szCs w:val="24"/>
        </w:rPr>
        <w:t>说明：我单位没有使用国有资本经营预算安排的支出，故本表无数据。（当表格数据为空时，应有此说明）</w:t>
      </w:r>
    </w:p>
    <w:p w14:paraId="DE020930">
      <w:pPr>
        <w:pStyle w:val="style0"/>
        <w:widowControl/>
        <w:jc w:val="center"/>
        <w:rPr>
          <w:rFonts w:ascii="Times New Roman" w:cs="Times New Roman" w:eastAsia="方正小标宋_GBK" w:hAnsi="Times New Roman"/>
          <w:color w:val="000000"/>
          <w:kern w:val="0"/>
          <w:sz w:val="36"/>
          <w:szCs w:val="36"/>
        </w:rPr>
      </w:pPr>
    </w:p>
    <w:p w14:paraId="22B340FA">
      <w:pPr>
        <w:pStyle w:val="style29"/>
        <w:spacing w:lineRule="exact" w:line="400"/>
        <w:rPr>
          <w:rFonts w:ascii="Times New Roman" w:cs="Times New Roman" w:eastAsia="华文中宋" w:hAnsi="Times New Roman"/>
          <w:color w:val="000000"/>
          <w:kern w:val="0"/>
          <w:sz w:val="32"/>
          <w:szCs w:val="32"/>
        </w:rPr>
      </w:pPr>
    </w:p>
    <w:p w14:paraId="3E809D0C">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财政拨款</w:t>
      </w:r>
      <w:r>
        <w:rPr>
          <w:rFonts w:ascii="Times New Roman" w:cs="Times New Roman" w:eastAsia="黑体" w:hAnsi="Times New Roman"/>
          <w:color w:val="000000"/>
          <w:kern w:val="0"/>
          <w:sz w:val="36"/>
          <w:szCs w:val="36"/>
        </w:rPr>
        <w:t>“</w:t>
      </w:r>
      <w:r>
        <w:rPr>
          <w:rFonts w:ascii="Times New Roman" w:cs="Times New Roman" w:eastAsia="黑体" w:hAnsi="Times New Roman"/>
          <w:color w:val="000000"/>
          <w:kern w:val="0"/>
          <w:sz w:val="36"/>
          <w:szCs w:val="36"/>
        </w:rPr>
        <w:t>三公</w:t>
      </w:r>
      <w:r>
        <w:rPr>
          <w:rFonts w:ascii="Times New Roman" w:cs="Times New Roman" w:eastAsia="黑体" w:hAnsi="Times New Roman"/>
          <w:color w:val="000000"/>
          <w:kern w:val="0"/>
          <w:sz w:val="36"/>
          <w:szCs w:val="36"/>
        </w:rPr>
        <w:t>”</w:t>
      </w:r>
      <w:r>
        <w:rPr>
          <w:rFonts w:ascii="Times New Roman" w:cs="Times New Roman" w:eastAsia="黑体" w:hAnsi="Times New Roman"/>
          <w:color w:val="000000"/>
          <w:kern w:val="0"/>
          <w:sz w:val="36"/>
          <w:szCs w:val="36"/>
        </w:rPr>
        <w:t>经费支出决算表</w:t>
      </w:r>
    </w:p>
    <w:p w14:paraId="B32632C9">
      <w:pPr>
        <w:pStyle w:val="style0"/>
        <w:widowControl/>
        <w:tabs>
          <w:tab w:val="left" w:leader="none" w:pos="1260"/>
          <w:tab w:val="left" w:leader="none" w:pos="2521"/>
          <w:tab w:val="left" w:leader="none" w:pos="3782"/>
          <w:tab w:val="left" w:leader="none" w:pos="5043"/>
          <w:tab w:val="left" w:leader="none" w:pos="6304"/>
          <w:tab w:val="left" w:leader="none" w:pos="7565"/>
          <w:tab w:val="left" w:leader="none" w:pos="8826"/>
          <w:tab w:val="left" w:leader="none" w:pos="10087"/>
          <w:tab w:val="left" w:leader="none" w:pos="11348"/>
          <w:tab w:val="left" w:leader="none" w:pos="12609"/>
          <w:tab w:val="left" w:leader="none" w:pos="13870"/>
        </w:tabs>
        <w:jc w:val="right"/>
        <w:textAlignment w:val="center"/>
        <w:rPr>
          <w:rFonts w:ascii="Times New Roman" w:cs="Times New Roman" w:eastAsia="楷体_GB2312" w:hAnsi="Times New Roman"/>
          <w:color w:val="000000"/>
          <w:sz w:val="20"/>
          <w:szCs w:val="20"/>
        </w:rPr>
      </w:pP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kern w:val="0"/>
          <w:sz w:val="20"/>
          <w:szCs w:val="20"/>
        </w:rPr>
        <w:t>公开</w:t>
      </w:r>
      <w:r>
        <w:rPr>
          <w:rFonts w:ascii="Times New Roman" w:cs="Times New Roman" w:eastAsia="楷体_GB2312" w:hAnsi="Times New Roman"/>
          <w:color w:val="000000"/>
          <w:kern w:val="0"/>
          <w:sz w:val="20"/>
          <w:szCs w:val="20"/>
        </w:rPr>
        <w:t>09</w:t>
      </w:r>
      <w:r>
        <w:rPr>
          <w:rFonts w:ascii="Times New Roman" w:cs="Times New Roman" w:eastAsia="楷体_GB2312" w:hAnsi="Times New Roman"/>
          <w:color w:val="000000"/>
          <w:kern w:val="0"/>
          <w:sz w:val="20"/>
          <w:szCs w:val="20"/>
        </w:rPr>
        <w:t>表</w:t>
      </w:r>
    </w:p>
    <w:p w14:paraId="638B86FC">
      <w:pPr>
        <w:pStyle w:val="style0"/>
        <w:widowControl/>
        <w:tabs>
          <w:tab w:val="left" w:leader="none" w:pos="1260"/>
          <w:tab w:val="left" w:leader="none" w:pos="2521"/>
          <w:tab w:val="left" w:leader="none" w:pos="3782"/>
          <w:tab w:val="left" w:leader="none" w:pos="5043"/>
          <w:tab w:val="left" w:leader="none" w:pos="6304"/>
          <w:tab w:val="left" w:leader="none" w:pos="7565"/>
          <w:tab w:val="left" w:leader="none" w:pos="8826"/>
          <w:tab w:val="left" w:leader="none" w:pos="10087"/>
          <w:tab w:val="left" w:leader="none" w:pos="11348"/>
          <w:tab w:val="left" w:leader="none" w:pos="12609"/>
          <w:tab w:val="left" w:leader="none" w:pos="13870"/>
        </w:tabs>
        <w:jc w:val="right"/>
        <w:textAlignment w:val="center"/>
        <w:rPr>
          <w:rFonts w:ascii="Times New Roman" w:cs="Times New Roman" w:eastAsia="楷体_GB2312" w:hAnsi="Times New Roman"/>
          <w:color w:val="000000"/>
          <w:sz w:val="20"/>
          <w:szCs w:val="20"/>
        </w:rPr>
      </w:pPr>
      <w:r>
        <w:rPr>
          <w:rFonts w:ascii="Times New Roman" w:cs="Times New Roman" w:eastAsia="楷体_GB2312" w:hAnsi="Times New Roman"/>
          <w:color w:val="000000"/>
          <w:kern w:val="0"/>
          <w:sz w:val="20"/>
          <w:szCs w:val="20"/>
        </w:rPr>
        <w:t>部门：</w:t>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kern w:val="0"/>
          <w:sz w:val="20"/>
          <w:szCs w:val="20"/>
        </w:rPr>
        <w:t>单位：万元</w:t>
      </w:r>
    </w:p>
    <w:tbl>
      <w:tblPr>
        <w:tblW w:w="5114" w:type="pct"/>
        <w:jc w:val="center"/>
        <w:tblLook w:val="04A0" w:firstRow="1" w:lastRow="0" w:firstColumn="1" w:lastColumn="0" w:noHBand="0" w:noVBand="1"/>
      </w:tblPr>
      <w:tblGrid>
        <w:gridCol w:w="895"/>
        <w:gridCol w:w="1176"/>
        <w:gridCol w:w="1040"/>
        <w:gridCol w:w="1137"/>
        <w:gridCol w:w="1360"/>
        <w:gridCol w:w="1313"/>
        <w:gridCol w:w="1006"/>
        <w:gridCol w:w="1118"/>
        <w:gridCol w:w="1118"/>
        <w:gridCol w:w="1118"/>
        <w:gridCol w:w="1299"/>
        <w:gridCol w:w="1338"/>
      </w:tblGrid>
      <w:tr w14:paraId="2F27F597">
        <w:trPr>
          <w:trHeight w:val="606" w:hRule="atLeast"/>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D6FFBA">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3CAFB8">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决算数</w:t>
            </w:r>
          </w:p>
        </w:tc>
      </w:tr>
      <w:tr w14:paraId="83845790">
        <w:tblPrEx/>
        <w:trPr>
          <w:trHeight w:val="495" w:hRule="atLeast"/>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3A6690">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D12531">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8D570BE9">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5C830">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6256C0">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541A6F">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C6238FCE">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88AFDD">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公务接待费</w:t>
            </w:r>
          </w:p>
        </w:tc>
      </w:tr>
      <w:tr w14:paraId="BBA86C27">
        <w:tblPrEx/>
        <w:trPr>
          <w:trHeight w:val="864" w:hRule="atLeast"/>
          <w:jc w:val="center"/>
        </w:trPr>
        <w:tc>
          <w:tcPr>
            <w:tcW w:w="32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816CA2DA">
            <w:pPr>
              <w:pStyle w:val="style0"/>
              <w:jc w:val="center"/>
              <w:rPr>
                <w:rFonts w:ascii="Times New Roman" w:cs="Times New Roman" w:eastAsia="仿宋_GB2312" w:hAnsi="Times New Roman"/>
                <w:color w:val="000000"/>
                <w:sz w:val="22"/>
              </w:rPr>
            </w:pPr>
          </w:p>
        </w:tc>
        <w:tc>
          <w:tcPr>
            <w:tcW w:w="422"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2130C97">
            <w:pPr>
              <w:pStyle w:val="style0"/>
              <w:jc w:val="center"/>
              <w:rPr>
                <w:rFonts w:ascii="Times New Roman" w:cs="Times New Roman" w:eastAsia="仿宋_GB2312" w:hAnsi="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C6AA7">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597EBD4">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8C6F2">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运行维护费</w:t>
            </w:r>
          </w:p>
        </w:tc>
        <w:tc>
          <w:tcPr>
            <w:tcW w:w="47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F35664EB">
            <w:pPr>
              <w:pStyle w:val="style0"/>
              <w:jc w:val="center"/>
              <w:rPr>
                <w:rFonts w:ascii="Times New Roman" w:cs="Times New Roman" w:eastAsia="仿宋_GB2312" w:hAnsi="Times New Roman"/>
                <w:color w:val="000000"/>
                <w:sz w:val="22"/>
              </w:rPr>
            </w:pPr>
          </w:p>
        </w:tc>
        <w:tc>
          <w:tcPr>
            <w:tcW w:w="36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AAEB8074">
            <w:pPr>
              <w:pStyle w:val="style0"/>
              <w:jc w:val="center"/>
              <w:rPr>
                <w:rFonts w:ascii="Times New Roman" w:cs="Times New Roman" w:eastAsia="仿宋_GB2312" w:hAnsi="Times New Roman"/>
                <w:color w:val="000000"/>
                <w:sz w:val="22"/>
              </w:rPr>
            </w:pPr>
          </w:p>
        </w:tc>
        <w:tc>
          <w:tcPr>
            <w:tcW w:w="40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C50C24F2">
            <w:pPr>
              <w:pStyle w:val="style0"/>
              <w:jc w:val="center"/>
              <w:rPr>
                <w:rFonts w:ascii="Times New Roman" w:cs="Times New Roman" w:eastAsia="仿宋_GB2312" w:hAnsi="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2A548">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86764">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9A8A517">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运行维护费</w:t>
            </w:r>
          </w:p>
        </w:tc>
        <w:tc>
          <w:tcPr>
            <w:tcW w:w="480"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29200E15">
            <w:pPr>
              <w:pStyle w:val="style0"/>
              <w:jc w:val="center"/>
              <w:rPr>
                <w:rFonts w:ascii="Times New Roman" w:cs="Times New Roman" w:eastAsia="仿宋_GB2312" w:hAnsi="Times New Roman"/>
                <w:color w:val="000000"/>
                <w:sz w:val="22"/>
              </w:rPr>
            </w:pPr>
          </w:p>
        </w:tc>
      </w:tr>
      <w:tr w14:paraId="FF7ECD0F">
        <w:tblPrEx/>
        <w:trPr>
          <w:trHeight w:val="614" w:hRule="atLeast"/>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497AE">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74B6826">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D4089">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B552709B">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7C52C">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5DAB7">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A52DF">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A9D6EA6">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F8F3B">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861C4F9E">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3E49FFD">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CD9B070">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12</w:t>
            </w:r>
          </w:p>
        </w:tc>
      </w:tr>
      <w:tr w14:paraId="537F272A">
        <w:tblPrEx/>
        <w:trPr>
          <w:trHeight w:val="579" w:hRule="atLeast"/>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DF919E6F">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0.02</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6B573">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AED34">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935E7">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9A892AF1">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FE034DFB">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0.2</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C9DF4">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A967D">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F60D3">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E9BBBEFC">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632E8">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94DE7">
            <w:pPr>
              <w:pStyle w:val="style0"/>
              <w:rPr>
                <w:rFonts w:ascii="Times New Roman" w:cs="Times New Roman" w:eastAsia="仿宋_GB2312" w:hAnsi="Times New Roman"/>
                <w:color w:val="000000"/>
                <w:sz w:val="22"/>
              </w:rPr>
            </w:pPr>
            <w:r>
              <w:rPr>
                <w:rFonts w:ascii="Times New Roman" w:cs="Times New Roman" w:eastAsia="仿宋_GB2312" w:hAnsi="Times New Roman"/>
                <w:color w:val="000000"/>
                <w:sz w:val="22"/>
                <w:lang w:val="en-US"/>
              </w:rPr>
              <w:t>0</w:t>
            </w:r>
          </w:p>
        </w:tc>
      </w:tr>
    </w:tbl>
    <w:p w14:paraId="4F1A7324">
      <w:pPr>
        <w:pStyle w:val="style0"/>
        <w:widowControl/>
        <w:spacing w:before="120"/>
        <w:jc w:val="left"/>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注：本表反映部门本年度财政拨款</w:t>
      </w:r>
      <w:r>
        <w:rPr>
          <w:rFonts w:ascii="Times New Roman" w:cs="Times New Roman" w:eastAsia="仿宋_GB2312" w:hAnsi="Times New Roman"/>
          <w:color w:val="000000"/>
          <w:kern w:val="0"/>
          <w:sz w:val="24"/>
          <w:szCs w:val="24"/>
        </w:rPr>
        <w:t>“</w:t>
      </w:r>
      <w:r>
        <w:rPr>
          <w:rFonts w:ascii="Times New Roman" w:cs="Times New Roman" w:eastAsia="仿宋_GB2312" w:hAnsi="Times New Roman"/>
          <w:color w:val="000000"/>
          <w:kern w:val="0"/>
          <w:sz w:val="24"/>
          <w:szCs w:val="24"/>
        </w:rPr>
        <w:t>三公</w:t>
      </w:r>
      <w:r>
        <w:rPr>
          <w:rFonts w:ascii="Times New Roman" w:cs="Times New Roman" w:eastAsia="仿宋_GB2312" w:hAnsi="Times New Roman"/>
          <w:color w:val="000000"/>
          <w:kern w:val="0"/>
          <w:sz w:val="24"/>
          <w:szCs w:val="24"/>
        </w:rPr>
        <w:t>”</w:t>
      </w:r>
      <w:r>
        <w:rPr>
          <w:rFonts w:ascii="Times New Roman" w:cs="Times New Roman" w:eastAsia="仿宋_GB2312" w:hAnsi="Times New Roman"/>
          <w:color w:val="000000"/>
          <w:kern w:val="0"/>
          <w:sz w:val="24"/>
          <w:szCs w:val="24"/>
        </w:rPr>
        <w:t>经费支出预决算情况。其中，预算数为</w:t>
      </w:r>
      <w:r>
        <w:rPr>
          <w:rFonts w:ascii="Times New Roman" w:cs="Times New Roman" w:eastAsia="仿宋_GB2312" w:hAnsi="Times New Roman"/>
          <w:color w:val="000000"/>
          <w:kern w:val="0"/>
          <w:sz w:val="24"/>
          <w:szCs w:val="24"/>
        </w:rPr>
        <w:t>“</w:t>
      </w:r>
      <w:r>
        <w:rPr>
          <w:rFonts w:ascii="Times New Roman" w:cs="Times New Roman" w:eastAsia="仿宋_GB2312" w:hAnsi="Times New Roman"/>
          <w:color w:val="000000"/>
          <w:kern w:val="0"/>
          <w:sz w:val="24"/>
          <w:szCs w:val="24"/>
        </w:rPr>
        <w:t>三公</w:t>
      </w:r>
      <w:r>
        <w:rPr>
          <w:rFonts w:ascii="Times New Roman" w:cs="Times New Roman" w:eastAsia="仿宋_GB2312" w:hAnsi="Times New Roman"/>
          <w:color w:val="000000"/>
          <w:kern w:val="0"/>
          <w:sz w:val="24"/>
          <w:szCs w:val="24"/>
        </w:rPr>
        <w:t>”</w:t>
      </w:r>
      <w:r>
        <w:rPr>
          <w:rFonts w:ascii="Times New Roman" w:cs="Times New Roman" w:eastAsia="仿宋_GB2312" w:hAnsi="Times New Roman"/>
          <w:color w:val="000000"/>
          <w:kern w:val="0"/>
          <w:sz w:val="24"/>
          <w:szCs w:val="24"/>
        </w:rPr>
        <w:t>经费全年预算数，反映按规定程序调整后的预算数；决算数是包括当年财政拨款和以前年度结转资金安排的实际支出。</w:t>
      </w:r>
    </w:p>
    <w:p w14:paraId="35B1D953">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9F5DF5C2">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D94CB5C4">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74A05675">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19CCA765">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8D88D92A">
      <w:pPr>
        <w:pStyle w:val="style0"/>
        <w:widowControl/>
        <w:rPr>
          <w:rFonts w:ascii="Times New Roman" w:cs="Times New Roman" w:hAnsi="Times New Roman"/>
          <w:sz w:val="72"/>
          <w:szCs w:val="72"/>
        </w:rPr>
        <w:sectPr>
          <w:pgSz w:w="16838" w:h="11906" w:orient="landscape"/>
          <w:pgMar w:top="1134" w:right="1417" w:bottom="1134" w:left="1417" w:header="851" w:footer="992" w:gutter="0"/>
          <w:cols w:space="425"/>
          <w:docGrid w:type="lines" w:linePitch="312"/>
        </w:sectPr>
      </w:pPr>
      <w:r>
        <w:rPr>
          <w:rFonts w:ascii="Times New Roman" w:cs="Times New Roman" w:eastAsia="黑体" w:hAnsi="Times New Roman"/>
          <w:szCs w:val="21"/>
        </w:rPr>
        <w:br w:type="page"/>
      </w:r>
    </w:p>
    <w:p w14:paraId="1848E6CC">
      <w:pPr>
        <w:pStyle w:val="style4099"/>
        <w:rPr>
          <w:rFonts w:ascii="Times New Roman" w:cs="Times New Roman" w:hAnsi="Times New Roman"/>
          <w:sz w:val="72"/>
          <w:szCs w:val="72"/>
        </w:rPr>
      </w:pPr>
    </w:p>
    <w:p w14:paraId="76D2844D">
      <w:pPr>
        <w:pStyle w:val="style4099"/>
        <w:rPr>
          <w:rFonts w:ascii="Times New Roman" w:cs="Times New Roman" w:hAnsi="Times New Roman"/>
          <w:sz w:val="72"/>
          <w:szCs w:val="72"/>
        </w:rPr>
      </w:pPr>
    </w:p>
    <w:p w14:paraId="5C6EECB5">
      <w:pPr>
        <w:pStyle w:val="style4099"/>
        <w:rPr>
          <w:rFonts w:ascii="Times New Roman" w:cs="Times New Roman" w:hAnsi="Times New Roman"/>
          <w:sz w:val="72"/>
          <w:szCs w:val="72"/>
        </w:rPr>
      </w:pPr>
    </w:p>
    <w:p w14:paraId="179C6D4C">
      <w:pPr>
        <w:pStyle w:val="style4099"/>
        <w:jc w:val="center"/>
        <w:rPr>
          <w:rFonts w:ascii="Times New Roman" w:cs="Times New Roman" w:hAnsi="Times New Roman"/>
          <w:sz w:val="72"/>
          <w:szCs w:val="72"/>
        </w:rPr>
      </w:pPr>
    </w:p>
    <w:p w14:paraId="D666C1CF">
      <w:pPr>
        <w:pStyle w:val="style4099"/>
        <w:jc w:val="center"/>
        <w:rPr>
          <w:rFonts w:ascii="Times New Roman" w:cs="Times New Roman" w:eastAsia="方正小标宋_GBK" w:hAnsi="Times New Roman"/>
          <w:sz w:val="72"/>
          <w:szCs w:val="72"/>
        </w:rPr>
      </w:pPr>
    </w:p>
    <w:p w14:paraId="FC6B6B25">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第三部分</w:t>
      </w:r>
    </w:p>
    <w:p w14:paraId="3BE1FB5D">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2024</w:t>
      </w:r>
      <w:r>
        <w:rPr>
          <w:rFonts w:ascii="Times New Roman" w:cs="Times New Roman" w:eastAsia="方正小标宋_GBK" w:hAnsi="Times New Roman"/>
          <w:sz w:val="52"/>
          <w:szCs w:val="52"/>
        </w:rPr>
        <w:t>年度部门决算情况说明</w:t>
      </w:r>
    </w:p>
    <w:p w14:paraId="D39D9D53">
      <w:pPr>
        <w:pStyle w:val="style0"/>
        <w:widowControl/>
        <w:jc w:val="left"/>
        <w:rPr>
          <w:rFonts w:ascii="Times New Roman" w:cs="Times New Roman" w:hAnsi="Times New Roman"/>
          <w:sz w:val="32"/>
          <w:szCs w:val="32"/>
        </w:rPr>
      </w:pPr>
      <w:r>
        <w:rPr>
          <w:rFonts w:ascii="Times New Roman" w:cs="Times New Roman" w:eastAsia="方正小标宋_GBK" w:hAnsi="Times New Roman"/>
          <w:sz w:val="70"/>
          <w:szCs w:val="70"/>
        </w:rPr>
        <w:br w:type="page"/>
      </w:r>
    </w:p>
    <w:p w14:paraId="CD1F0485">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一、收入支出决算总体情况说明</w:t>
      </w:r>
    </w:p>
    <w:p w14:paraId="FCF948AE">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年度收、支总计</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万元。与上年相比，增加</w:t>
      </w:r>
      <w:r>
        <w:rPr>
          <w:rFonts w:ascii="Times New Roman" w:cs="Times New Roman" w:eastAsia="仿宋_GB2312" w:hAnsi="Times New Roman"/>
          <w:sz w:val="32"/>
          <w:szCs w:val="32"/>
          <w:lang w:val="en-US"/>
        </w:rPr>
        <w:t>10.9</w:t>
      </w:r>
      <w:r>
        <w:rPr>
          <w:rFonts w:ascii="Times New Roman" w:cs="Times New Roman" w:eastAsia="仿宋_GB2312" w:hAnsi="Times New Roman"/>
          <w:sz w:val="32"/>
          <w:szCs w:val="32"/>
        </w:rPr>
        <w:t>万元，增长</w:t>
      </w:r>
      <w:r>
        <w:rPr>
          <w:rFonts w:ascii="Times New Roman" w:cs="Times New Roman" w:eastAsia="仿宋_GB2312" w:hAnsi="Times New Roman"/>
          <w:sz w:val="32"/>
          <w:szCs w:val="32"/>
          <w:lang w:val="en-US"/>
        </w:rPr>
        <w:t>36.94</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，主要是因</w:t>
      </w:r>
      <w:r>
        <w:rPr>
          <w:rFonts w:ascii="Times New Roman" w:cs="Times New Roman" w:eastAsia="仿宋_GB2312" w:hAnsi="Times New Roman"/>
          <w:sz w:val="32"/>
          <w:szCs w:val="32"/>
          <w:lang w:val="en-US"/>
        </w:rPr>
        <w:t>为多出部分为基本工资、其他工资福利等。</w:t>
      </w:r>
    </w:p>
    <w:p w14:paraId="5A6E95B8">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二、收入决算情况说明</w:t>
      </w:r>
    </w:p>
    <w:p w14:paraId="91044A00">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年度收入合计</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万元，其中：财政拨款收入</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100</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；上级补助收入0万元，占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；事业收入</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；经营收入</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；附属单位上缴收入</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；其他收入</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w:t>
      </w:r>
    </w:p>
    <w:p w14:paraId="721C78C0">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三、支出决算情况说明</w:t>
      </w:r>
    </w:p>
    <w:p w14:paraId="F66950B0">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年度支出合计</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万元，其中：基本支出</w:t>
      </w:r>
      <w:r>
        <w:rPr>
          <w:rFonts w:ascii="Times New Roman" w:cs="Times New Roman" w:eastAsia="仿宋_GB2312" w:hAnsi="Times New Roman"/>
          <w:sz w:val="32"/>
          <w:szCs w:val="32"/>
          <w:lang w:val="en-US"/>
        </w:rPr>
        <w:t>29.26</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72.42</w:t>
      </w:r>
      <w:r>
        <w:rPr>
          <w:rFonts w:ascii="Times New Roman" w:cs="Times New Roman" w:eastAsia="仿宋_GB2312" w:hAnsi="Times New Roman"/>
          <w:sz w:val="32"/>
          <w:szCs w:val="32"/>
        </w:rPr>
        <w:t>%</w:t>
      </w:r>
      <w:r>
        <w:rPr>
          <w:rFonts w:ascii="Times New Roman" w:cs="Times New Roman" w:eastAsia="仿宋_GB2312" w:hAnsi="Times New Roman"/>
          <w:sz w:val="32"/>
          <w:szCs w:val="32"/>
        </w:rPr>
        <w:t>；项目支出</w:t>
      </w:r>
      <w:r>
        <w:rPr>
          <w:rFonts w:ascii="Times New Roman" w:cs="Times New Roman" w:eastAsia="仿宋_GB2312" w:hAnsi="Times New Roman"/>
          <w:sz w:val="32"/>
          <w:szCs w:val="32"/>
          <w:lang w:val="en-US"/>
        </w:rPr>
        <w:t>11.13</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27.55</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；上缴上级支出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；经营支出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；对附属单位补助支出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w:t>
      </w:r>
    </w:p>
    <w:p w14:paraId="BEE28E03">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四、财政拨款收入支出决算总体情况说明</w:t>
      </w:r>
    </w:p>
    <w:p w14:paraId="09C2A5B9">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年度财政拨款收、支总计</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万元，与上年相比，增加</w:t>
      </w:r>
      <w:r>
        <w:rPr>
          <w:rFonts w:ascii="Times New Roman" w:cs="Times New Roman" w:eastAsia="仿宋_GB2312" w:hAnsi="Times New Roman"/>
          <w:sz w:val="32"/>
          <w:szCs w:val="32"/>
          <w:lang w:val="en-US"/>
        </w:rPr>
        <w:t>10.9</w:t>
      </w:r>
      <w:r>
        <w:rPr>
          <w:rFonts w:ascii="Times New Roman" w:cs="Times New Roman" w:eastAsia="仿宋_GB2312" w:hAnsi="Times New Roman"/>
          <w:sz w:val="32"/>
          <w:szCs w:val="32"/>
        </w:rPr>
        <w:t>万元</w:t>
      </w:r>
      <w:r>
        <w:rPr>
          <w:rFonts w:ascii="Times New Roman" w:cs="Times New Roman" w:eastAsia="仿宋_GB2312" w:hAnsi="Times New Roman"/>
          <w:sz w:val="32"/>
          <w:szCs w:val="32"/>
        </w:rPr>
        <w:t>,</w:t>
      </w:r>
      <w:r>
        <w:rPr>
          <w:rFonts w:ascii="Times New Roman" w:cs="Times New Roman" w:eastAsia="仿宋_GB2312" w:hAnsi="Times New Roman"/>
          <w:sz w:val="32"/>
          <w:szCs w:val="32"/>
        </w:rPr>
        <w:t>增长</w:t>
      </w:r>
      <w:r>
        <w:rPr>
          <w:rFonts w:ascii="Times New Roman" w:cs="Times New Roman" w:eastAsia="仿宋_GB2312" w:hAnsi="Times New Roman"/>
          <w:sz w:val="32"/>
          <w:szCs w:val="32"/>
          <w:lang w:val="en-US"/>
        </w:rPr>
        <w:t>36.94</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，主要是因为</w:t>
      </w:r>
      <w:r>
        <w:rPr>
          <w:rFonts w:ascii="Times New Roman" w:cs="Times New Roman" w:eastAsia="仿宋_GB2312" w:hAnsi="Times New Roman"/>
          <w:sz w:val="32"/>
          <w:szCs w:val="32"/>
          <w:lang w:val="en-US"/>
        </w:rPr>
        <w:t>多出部分为基本工资、其他工资福利。</w:t>
      </w:r>
    </w:p>
    <w:p w14:paraId="C6102766">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五、一般公共预算财政拨款支出决算情况说明</w:t>
      </w:r>
    </w:p>
    <w:p w14:paraId="6FE83E9D">
      <w:pPr>
        <w:pStyle w:val="style4099"/>
        <w:overflowPunct w:val="false"/>
        <w:autoSpaceDE/>
        <w:autoSpaceDN/>
        <w:spacing w:lineRule="exact" w:line="600"/>
        <w:ind w:firstLine="643"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（一）一般公共预算财政拨款支出决算总体情况</w:t>
      </w:r>
    </w:p>
    <w:p w14:paraId="AF77D491">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年度财政拨款支出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万元，占本年支出合计的</w:t>
      </w:r>
      <w:r>
        <w:rPr>
          <w:rFonts w:ascii="Times New Roman" w:cs="Times New Roman" w:eastAsia="仿宋_GB2312" w:hAnsi="Times New Roman"/>
          <w:sz w:val="32"/>
          <w:szCs w:val="32"/>
          <w:lang w:val="en-US"/>
        </w:rPr>
        <w:t>100</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，与上年相比，财政拨款支出增加</w:t>
      </w:r>
      <w:r>
        <w:rPr>
          <w:rFonts w:ascii="Times New Roman" w:cs="Times New Roman" w:eastAsia="仿宋_GB2312" w:hAnsi="Times New Roman"/>
          <w:sz w:val="32"/>
          <w:szCs w:val="32"/>
          <w:lang w:val="en-US"/>
        </w:rPr>
        <w:t>10.9</w:t>
      </w:r>
      <w:r>
        <w:rPr>
          <w:rFonts w:ascii="Times New Roman" w:cs="Times New Roman" w:eastAsia="仿宋_GB2312" w:hAnsi="Times New Roman"/>
          <w:sz w:val="32"/>
          <w:szCs w:val="32"/>
        </w:rPr>
        <w:t>万元，增长</w:t>
      </w:r>
      <w:r>
        <w:rPr>
          <w:rFonts w:ascii="Times New Roman" w:cs="Times New Roman" w:eastAsia="仿宋_GB2312" w:hAnsi="Times New Roman"/>
          <w:sz w:val="32"/>
          <w:szCs w:val="32"/>
          <w:lang w:val="en-US"/>
        </w:rPr>
        <w:t>36.94</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，主要是因为</w:t>
      </w:r>
      <w:r>
        <w:rPr>
          <w:rFonts w:ascii="Times New Roman" w:cs="Times New Roman" w:eastAsia="仿宋_GB2312" w:hAnsi="Times New Roman"/>
          <w:sz w:val="32"/>
          <w:szCs w:val="32"/>
          <w:lang w:val="en-US"/>
        </w:rPr>
        <w:t>多出部分为基本工资、其他工资福利等。</w:t>
      </w:r>
    </w:p>
    <w:p w14:paraId="DECE093A">
      <w:pPr>
        <w:pStyle w:val="style4099"/>
        <w:overflowPunct w:val="false"/>
        <w:autoSpaceDE/>
        <w:autoSpaceDN/>
        <w:spacing w:lineRule="exact" w:line="600"/>
        <w:ind w:firstLine="643"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（二）一般公共预算财政拨款支出决算结构情况</w:t>
      </w:r>
    </w:p>
    <w:p w14:paraId="67D3F866">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年度财政拨款支出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万元，主要用于以下方面：一般公共服务（类）支出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；教育（类）支出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万元，占</w:t>
      </w:r>
      <w:r>
        <w:rPr>
          <w:rFonts w:ascii="Times New Roman" w:cs="Times New Roman" w:eastAsia="仿宋_GB2312" w:hAnsi="Times New Roman"/>
          <w:sz w:val="32"/>
          <w:szCs w:val="32"/>
          <w:lang w:val="en-US"/>
        </w:rPr>
        <w:t>100</w:t>
      </w:r>
      <w:r>
        <w:rPr>
          <w:rFonts w:ascii="Times New Roman" w:cs="Times New Roman" w:eastAsia="仿宋_GB2312" w:hAnsi="Times New Roman"/>
          <w:sz w:val="32"/>
          <w:szCs w:val="32"/>
        </w:rPr>
        <w:t>%</w:t>
      </w:r>
      <w:r>
        <w:rPr>
          <w:rFonts w:ascii="Times New Roman" w:cs="Times New Roman" w:eastAsia="仿宋_GB2312" w:hAnsi="Times New Roman"/>
          <w:sz w:val="32"/>
          <w:szCs w:val="32"/>
          <w:lang w:val="en-US"/>
        </w:rPr>
        <w:t>。</w:t>
      </w:r>
    </w:p>
    <w:p w14:paraId="36FF218F">
      <w:pPr>
        <w:pStyle w:val="style4099"/>
        <w:overflowPunct w:val="false"/>
        <w:autoSpaceDE/>
        <w:autoSpaceDN/>
        <w:spacing w:lineRule="exact" w:line="600"/>
        <w:ind w:firstLine="643"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（三）一般公共预算财政拨款支出决算具体情况</w:t>
      </w:r>
    </w:p>
    <w:p w14:paraId="41D97BAD">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年度财政拨款支出年初预算数为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万元，支出决算数为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万元，完成年初预</w:t>
      </w:r>
      <w:r>
        <w:rPr>
          <w:rFonts w:ascii="Times New Roman" w:cs="Times New Roman" w:eastAsia="仿宋_GB2312" w:hAnsi="Times New Roman"/>
          <w:sz w:val="32"/>
          <w:szCs w:val="32"/>
        </w:rPr>
        <w:t>算的</w:t>
      </w:r>
      <w:r>
        <w:rPr>
          <w:rFonts w:ascii="Times New Roman" w:cs="Times New Roman" w:eastAsia="仿宋_GB2312" w:hAnsi="Times New Roman"/>
          <w:sz w:val="32"/>
          <w:szCs w:val="32"/>
          <w:lang w:val="en-US"/>
        </w:rPr>
        <w:t>100</w:t>
      </w:r>
      <w:r>
        <w:rPr>
          <w:rFonts w:ascii="Times New Roman" w:cs="Times New Roman" w:eastAsia="仿宋_GB2312" w:hAnsi="Times New Roman"/>
          <w:sz w:val="32"/>
          <w:szCs w:val="32"/>
        </w:rPr>
        <w:t>%</w:t>
      </w:r>
      <w:r>
        <w:rPr>
          <w:rFonts w:ascii="Times New Roman" w:cs="Times New Roman" w:eastAsia="仿宋_GB2312" w:hAnsi="Times New Roman"/>
          <w:sz w:val="32"/>
          <w:szCs w:val="32"/>
        </w:rPr>
        <w:t>，其中：</w:t>
      </w:r>
    </w:p>
    <w:p w14:paraId="B358EB95">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1</w:t>
      </w:r>
      <w:r>
        <w:rPr>
          <w:rFonts w:ascii="Times New Roman" w:cs="Times New Roman" w:eastAsia="仿宋_GB2312" w:hAnsi="Times New Roman"/>
          <w:sz w:val="32"/>
          <w:szCs w:val="32"/>
        </w:rPr>
        <w:t>、</w:t>
      </w:r>
      <w:r>
        <w:rPr>
          <w:rFonts w:ascii="Times New Roman" w:cs="Times New Roman" w:eastAsia="仿宋_GB2312" w:hAnsi="Times New Roman"/>
          <w:sz w:val="32"/>
          <w:szCs w:val="32"/>
          <w:lang w:val="en-US"/>
        </w:rPr>
        <w:t>教育支出</w:t>
      </w:r>
      <w:r>
        <w:rPr>
          <w:rFonts w:ascii="Times New Roman" w:cs="Times New Roman" w:eastAsia="仿宋_GB2312" w:hAnsi="Times New Roman"/>
          <w:sz w:val="32"/>
          <w:szCs w:val="32"/>
        </w:rPr>
        <w:t>（类）</w:t>
      </w:r>
      <w:r>
        <w:rPr>
          <w:rFonts w:ascii="Times New Roman" w:cs="Times New Roman" w:eastAsia="仿宋_GB2312" w:hAnsi="Times New Roman"/>
          <w:sz w:val="32"/>
          <w:szCs w:val="32"/>
          <w:lang w:val="en-US"/>
        </w:rPr>
        <w:t>普通教育</w:t>
      </w:r>
      <w:r>
        <w:rPr>
          <w:rFonts w:ascii="Times New Roman" w:cs="Times New Roman" w:eastAsia="仿宋_GB2312" w:hAnsi="Times New Roman"/>
          <w:sz w:val="32"/>
          <w:szCs w:val="32"/>
        </w:rPr>
        <w:t>（款）</w:t>
      </w:r>
      <w:r>
        <w:rPr>
          <w:rFonts w:ascii="Times New Roman" w:cs="Times New Roman" w:eastAsia="仿宋_GB2312" w:hAnsi="Times New Roman"/>
          <w:sz w:val="32"/>
          <w:szCs w:val="32"/>
          <w:lang w:val="en-US"/>
        </w:rPr>
        <w:t>学前教育</w:t>
      </w:r>
      <w:r>
        <w:rPr>
          <w:rFonts w:ascii="Times New Roman" w:cs="Times New Roman" w:eastAsia="仿宋_GB2312" w:hAnsi="Times New Roman"/>
          <w:sz w:val="32"/>
          <w:szCs w:val="32"/>
        </w:rPr>
        <w:t>（项）。</w:t>
      </w:r>
    </w:p>
    <w:p w14:paraId="7AAF9D23">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年初预算为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万元，支出决算为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万元，完成年初预算的</w:t>
      </w:r>
      <w:r>
        <w:rPr>
          <w:rFonts w:ascii="Times New Roman" w:cs="Times New Roman" w:eastAsia="仿宋_GB2312" w:hAnsi="Times New Roman"/>
          <w:sz w:val="32"/>
          <w:szCs w:val="32"/>
          <w:lang w:val="en-US"/>
        </w:rPr>
        <w:t>100</w:t>
      </w:r>
      <w:r>
        <w:rPr>
          <w:rFonts w:ascii="Times New Roman" w:cs="Times New Roman" w:eastAsia="仿宋_GB2312" w:hAnsi="Times New Roman"/>
          <w:sz w:val="32"/>
          <w:szCs w:val="32"/>
        </w:rPr>
        <w:t>%</w:t>
      </w:r>
      <w:r>
        <w:rPr>
          <w:rFonts w:ascii="Times New Roman" w:cs="Times New Roman" w:eastAsia="仿宋_GB2312" w:hAnsi="Times New Roman"/>
          <w:sz w:val="32"/>
          <w:szCs w:val="32"/>
        </w:rPr>
        <w:t>，决算数</w:t>
      </w:r>
      <w:r>
        <w:rPr>
          <w:rFonts w:ascii="Times New Roman" w:cs="Times New Roman" w:eastAsia="仿宋_GB2312" w:hAnsi="Times New Roman"/>
          <w:sz w:val="32"/>
          <w:szCs w:val="32"/>
          <w:lang w:val="en-US"/>
        </w:rPr>
        <w:t>持平于</w:t>
      </w:r>
      <w:r>
        <w:rPr>
          <w:rFonts w:ascii="Times New Roman" w:cs="Times New Roman" w:eastAsia="仿宋_GB2312" w:hAnsi="Times New Roman"/>
          <w:sz w:val="32"/>
          <w:szCs w:val="32"/>
        </w:rPr>
        <w:t>年初预算数的主要原因是：</w:t>
      </w:r>
      <w:r>
        <w:rPr>
          <w:rFonts w:ascii="Times New Roman" w:cs="Times New Roman" w:eastAsia="仿宋_GB2312" w:hAnsi="Times New Roman"/>
          <w:sz w:val="32"/>
          <w:szCs w:val="32"/>
          <w:lang w:val="en-US"/>
        </w:rPr>
        <w:t>严格控制经费开支。</w:t>
      </w:r>
    </w:p>
    <w:p w14:paraId="CC6FF118">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六、一般公共预算财政拨款基本支出决算情况说明</w:t>
      </w:r>
    </w:p>
    <w:p w14:paraId="F97D4DA8">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年度一般公共预算财政拨款基本支出</w:t>
      </w:r>
      <w:r>
        <w:rPr>
          <w:rFonts w:ascii="Times New Roman" w:cs="Times New Roman" w:eastAsia="仿宋_GB2312" w:hAnsi="Times New Roman"/>
          <w:sz w:val="32"/>
          <w:szCs w:val="32"/>
          <w:lang w:val="en-US"/>
        </w:rPr>
        <w:t>40.4</w:t>
      </w:r>
      <w:r>
        <w:rPr>
          <w:rFonts w:ascii="Times New Roman" w:cs="Times New Roman" w:eastAsia="仿宋_GB2312" w:hAnsi="Times New Roman"/>
          <w:sz w:val="32"/>
          <w:szCs w:val="32"/>
        </w:rPr>
        <w:t>万元</w:t>
      </w:r>
      <w:r>
        <w:rPr>
          <w:rFonts w:ascii="Times New Roman" w:cs="Times New Roman" w:eastAsia="仿宋_GB2312" w:hAnsi="Times New Roman"/>
          <w:sz w:val="32"/>
          <w:szCs w:val="32"/>
        </w:rPr>
        <w:t>，其中：</w:t>
      </w:r>
    </w:p>
    <w:p w14:paraId="01D68EC6">
      <w:pPr>
        <w:pStyle w:val="style4099"/>
        <w:overflowPunct w:val="false"/>
        <w:autoSpaceDE/>
        <w:autoSpaceDN/>
        <w:spacing w:lineRule="exact" w:line="600"/>
        <w:ind w:firstLine="643" w:firstLineChars="200"/>
        <w:jc w:val="both"/>
        <w:rPr>
          <w:rFonts w:ascii="Times New Roman" w:cs="Times New Roman" w:eastAsia="仿宋_GB2312" w:hAnsi="Times New Roman"/>
          <w:sz w:val="32"/>
          <w:szCs w:val="32"/>
        </w:rPr>
      </w:pPr>
      <w:r>
        <w:rPr>
          <w:rFonts w:ascii="Times New Roman" w:cs="Times New Roman" w:eastAsia="仿宋_GB2312" w:hAnsi="Times New Roman"/>
          <w:b/>
          <w:bCs/>
          <w:sz w:val="32"/>
          <w:szCs w:val="32"/>
        </w:rPr>
        <w:t>人员经费</w:t>
      </w:r>
      <w:r>
        <w:rPr>
          <w:rFonts w:ascii="Times New Roman" w:cs="Times New Roman" w:eastAsia="仿宋_GB2312" w:hAnsi="Times New Roman"/>
          <w:sz w:val="32"/>
          <w:szCs w:val="32"/>
          <w:lang w:val="en-US"/>
        </w:rPr>
        <w:t>22.42</w:t>
      </w:r>
      <w:r>
        <w:rPr>
          <w:rFonts w:ascii="Times New Roman" w:cs="Times New Roman" w:eastAsia="仿宋_GB2312" w:hAnsi="Times New Roman"/>
          <w:sz w:val="32"/>
          <w:szCs w:val="32"/>
        </w:rPr>
        <w:t>万元，</w:t>
      </w:r>
      <w:r>
        <w:rPr>
          <w:rFonts w:ascii="Times New Roman" w:cs="Times New Roman" w:eastAsia="仿宋_GB2312" w:hAnsi="Times New Roman"/>
          <w:sz w:val="32"/>
          <w:szCs w:val="32"/>
        </w:rPr>
        <w:t>占基本</w:t>
      </w:r>
      <w:r>
        <w:rPr>
          <w:rFonts w:ascii="Times New Roman" w:cs="Times New Roman" w:eastAsia="仿宋_GB2312" w:hAnsi="Times New Roman"/>
          <w:sz w:val="32"/>
          <w:szCs w:val="32"/>
        </w:rPr>
        <w:t>支出的</w:t>
      </w:r>
      <w:r>
        <w:rPr>
          <w:rFonts w:ascii="Times New Roman" w:cs="Times New Roman" w:eastAsia="仿宋_GB2312" w:hAnsi="Times New Roman"/>
          <w:sz w:val="32"/>
          <w:szCs w:val="32"/>
          <w:lang w:val="en-US"/>
        </w:rPr>
        <w:t>55.49</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主要包括基本工资、津贴补贴、</w:t>
      </w:r>
      <w:r>
        <w:rPr>
          <w:rFonts w:ascii="Times New Roman" w:cs="Times New Roman" w:eastAsia="仿宋_GB2312" w:hAnsi="Times New Roman"/>
          <w:sz w:val="32"/>
          <w:szCs w:val="32"/>
          <w:lang w:val="en-US"/>
        </w:rPr>
        <w:t>绩效工资</w:t>
      </w:r>
      <w:r>
        <w:rPr>
          <w:rFonts w:ascii="Times New Roman" w:cs="Times New Roman" w:eastAsia="仿宋_GB2312" w:hAnsi="Times New Roman"/>
          <w:sz w:val="32"/>
          <w:szCs w:val="32"/>
        </w:rPr>
        <w:t>、伙食补助费。</w:t>
      </w:r>
    </w:p>
    <w:p w14:paraId="FCBAE1A1">
      <w:pPr>
        <w:pStyle w:val="style4099"/>
        <w:overflowPunct w:val="false"/>
        <w:autoSpaceDE/>
        <w:autoSpaceDN/>
        <w:spacing w:lineRule="exact" w:line="600"/>
        <w:ind w:firstLine="643" w:firstLineChars="200"/>
        <w:jc w:val="both"/>
        <w:rPr>
          <w:rFonts w:ascii="Times New Roman" w:cs="Times New Roman" w:eastAsia="仿宋_GB2312" w:hAnsi="Times New Roman"/>
          <w:b/>
          <w:sz w:val="32"/>
          <w:szCs w:val="32"/>
        </w:rPr>
      </w:pPr>
      <w:r>
        <w:rPr>
          <w:rFonts w:ascii="Times New Roman" w:cs="Times New Roman" w:eastAsia="仿宋_GB2312" w:hAnsi="Times New Roman"/>
          <w:b/>
          <w:bCs/>
          <w:sz w:val="32"/>
          <w:szCs w:val="32"/>
        </w:rPr>
        <w:t>公用经费</w:t>
      </w:r>
      <w:r>
        <w:rPr>
          <w:rFonts w:ascii="Times New Roman" w:cs="Times New Roman" w:eastAsia="仿宋_GB2312" w:hAnsi="Times New Roman"/>
          <w:sz w:val="32"/>
          <w:szCs w:val="32"/>
          <w:lang w:val="en-US"/>
        </w:rPr>
        <w:t>6.84</w:t>
      </w:r>
      <w:r>
        <w:rPr>
          <w:rFonts w:ascii="Times New Roman" w:cs="Times New Roman" w:eastAsia="仿宋_GB2312" w:hAnsi="Times New Roman"/>
          <w:sz w:val="32"/>
          <w:szCs w:val="32"/>
        </w:rPr>
        <w:t>万元，</w:t>
      </w:r>
      <w:r>
        <w:rPr>
          <w:rFonts w:ascii="Times New Roman" w:cs="Times New Roman" w:eastAsia="仿宋_GB2312" w:hAnsi="Times New Roman"/>
          <w:sz w:val="32"/>
          <w:szCs w:val="32"/>
        </w:rPr>
        <w:t>占基本</w:t>
      </w:r>
      <w:r>
        <w:rPr>
          <w:rFonts w:ascii="Times New Roman" w:cs="Times New Roman" w:eastAsia="仿宋_GB2312" w:hAnsi="Times New Roman"/>
          <w:sz w:val="32"/>
          <w:szCs w:val="32"/>
        </w:rPr>
        <w:t>支出的</w:t>
      </w:r>
      <w:r>
        <w:rPr>
          <w:rFonts w:ascii="Times New Roman" w:cs="Times New Roman" w:eastAsia="仿宋_GB2312" w:hAnsi="Times New Roman"/>
          <w:sz w:val="32"/>
          <w:szCs w:val="32"/>
          <w:lang w:val="en-US"/>
        </w:rPr>
        <w:t>19.93</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，主要包括办公费、印刷费、</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水</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费、</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电费、</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邮电费、</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维修费、差旅费、福利费、培训费</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劳务费、工会经费。</w:t>
      </w:r>
    </w:p>
    <w:p w14:paraId="54FE5E1F">
      <w:pPr>
        <w:pStyle w:val="style4099"/>
        <w:overflowPunct w:val="false"/>
        <w:autoSpaceDE/>
        <w:autoSpaceDN/>
        <w:spacing w:lineRule="exact" w:line="600"/>
        <w:ind w:firstLine="640" w:firstLineChars="200"/>
        <w:jc w:val="both"/>
        <w:rPr>
          <w:rFonts w:ascii="Times New Roman" w:cs="Times New Roman" w:eastAsia="仿宋_GB2312" w:hAnsi="Times New Roman"/>
          <w:b/>
          <w:sz w:val="32"/>
          <w:szCs w:val="32"/>
        </w:rPr>
      </w:pPr>
      <w:r>
        <w:rPr>
          <w:rFonts w:ascii="Times New Roman" w:cs="Times New Roman" w:hAnsi="Times New Roman"/>
          <w:bCs/>
          <w:sz w:val="32"/>
          <w:szCs w:val="32"/>
        </w:rPr>
        <w:t>七、财政拨款</w:t>
      </w:r>
      <w:r>
        <w:rPr>
          <w:rFonts w:ascii="Times New Roman" w:cs="Times New Roman" w:hAnsi="Times New Roman"/>
          <w:bCs/>
          <w:sz w:val="32"/>
          <w:szCs w:val="32"/>
        </w:rPr>
        <w:t>“</w:t>
      </w:r>
      <w:r>
        <w:rPr>
          <w:rFonts w:ascii="Times New Roman" w:cs="Times New Roman" w:hAnsi="Times New Roman"/>
          <w:bCs/>
          <w:sz w:val="32"/>
          <w:szCs w:val="32"/>
        </w:rPr>
        <w:t>三公</w:t>
      </w:r>
      <w:r>
        <w:rPr>
          <w:rFonts w:ascii="Times New Roman" w:cs="Times New Roman" w:hAnsi="Times New Roman"/>
          <w:bCs/>
          <w:sz w:val="32"/>
          <w:szCs w:val="32"/>
        </w:rPr>
        <w:t>”</w:t>
      </w:r>
      <w:r>
        <w:rPr>
          <w:rFonts w:ascii="Times New Roman" w:cs="Times New Roman" w:hAnsi="Times New Roman"/>
          <w:bCs/>
          <w:sz w:val="32"/>
          <w:szCs w:val="32"/>
        </w:rPr>
        <w:t>经费支出决算情况说明</w:t>
      </w:r>
    </w:p>
    <w:p w14:paraId="048B8D19">
      <w:pPr>
        <w:pStyle w:val="style4099"/>
        <w:overflowPunct w:val="false"/>
        <w:autoSpaceDE/>
        <w:autoSpaceDN/>
        <w:spacing w:lineRule="exact" w:line="600"/>
        <w:ind w:firstLine="643"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（一）</w:t>
      </w:r>
      <w:r>
        <w:rPr>
          <w:rFonts w:ascii="Times New Roman" w:cs="Times New Roman" w:eastAsia="楷体_GB2312" w:hAnsi="Times New Roman"/>
          <w:b/>
          <w:sz w:val="32"/>
          <w:szCs w:val="32"/>
        </w:rPr>
        <w:t>“</w:t>
      </w:r>
      <w:r>
        <w:rPr>
          <w:rFonts w:ascii="Times New Roman" w:cs="Times New Roman" w:eastAsia="楷体_GB2312" w:hAnsi="Times New Roman"/>
          <w:b/>
          <w:sz w:val="32"/>
          <w:szCs w:val="32"/>
        </w:rPr>
        <w:t>三公</w:t>
      </w:r>
      <w:r>
        <w:rPr>
          <w:rFonts w:ascii="Times New Roman" w:cs="Times New Roman" w:eastAsia="楷体_GB2312" w:hAnsi="Times New Roman"/>
          <w:b/>
          <w:sz w:val="32"/>
          <w:szCs w:val="32"/>
        </w:rPr>
        <w:t>”</w:t>
      </w:r>
      <w:r>
        <w:rPr>
          <w:rFonts w:ascii="Times New Roman" w:cs="Times New Roman" w:eastAsia="楷体_GB2312" w:hAnsi="Times New Roman"/>
          <w:b/>
          <w:sz w:val="32"/>
          <w:szCs w:val="32"/>
        </w:rPr>
        <w:t>经费财政拨款支出决算总体情况说明</w:t>
      </w:r>
    </w:p>
    <w:p w14:paraId="BA68ABB2">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highlight w:val="yellow"/>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三公</w:t>
      </w:r>
      <w:r>
        <w:rPr>
          <w:rFonts w:ascii="Times New Roman" w:cs="Times New Roman" w:eastAsia="仿宋_GB2312" w:hAnsi="Times New Roman"/>
          <w:sz w:val="32"/>
          <w:szCs w:val="32"/>
        </w:rPr>
        <w:t>”</w:t>
      </w:r>
      <w:r>
        <w:rPr>
          <w:rFonts w:ascii="Times New Roman" w:cs="Times New Roman" w:eastAsia="仿宋_GB2312" w:hAnsi="Times New Roman"/>
          <w:sz w:val="32"/>
          <w:szCs w:val="32"/>
        </w:rPr>
        <w:t>经费财政拨款支出预算为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万元，支出决算为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万元，完成预算的</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；与上年相比</w:t>
      </w:r>
      <w:r>
        <w:rPr>
          <w:rFonts w:ascii="Times New Roman" w:cs="Times New Roman" w:eastAsia="仿宋_GB2312" w:hAnsi="Times New Roman"/>
          <w:sz w:val="32"/>
          <w:szCs w:val="32"/>
          <w:lang w:val="en-US"/>
        </w:rPr>
        <w:t>持平</w:t>
      </w:r>
      <w:r>
        <w:rPr>
          <w:rFonts w:ascii="Times New Roman" w:cs="Times New Roman" w:eastAsia="仿宋_GB2312" w:hAnsi="Times New Roman"/>
          <w:sz w:val="32"/>
          <w:szCs w:val="32"/>
        </w:rPr>
        <w:t>。决算数小于预算数的主要原因是</w:t>
      </w:r>
      <w:r>
        <w:rPr>
          <w:rFonts w:ascii="Times New Roman" w:cs="Times New Roman" w:eastAsia="仿宋_GB2312" w:hAnsi="Times New Roman"/>
          <w:sz w:val="32"/>
          <w:szCs w:val="32"/>
          <w:lang w:val="en-US"/>
        </w:rPr>
        <w:t>无“三公”经费支出。</w:t>
      </w:r>
    </w:p>
    <w:p w14:paraId="EA769965">
      <w:pPr>
        <w:pStyle w:val="style4099"/>
        <w:overflowPunct w:val="false"/>
        <w:autoSpaceDE/>
        <w:autoSpaceDN/>
        <w:spacing w:lineRule="exact" w:line="600"/>
        <w:ind w:firstLine="643"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（二）</w:t>
      </w:r>
      <w:r>
        <w:rPr>
          <w:rFonts w:ascii="Times New Roman" w:cs="Times New Roman" w:eastAsia="楷体_GB2312" w:hAnsi="Times New Roman"/>
          <w:b/>
          <w:sz w:val="32"/>
          <w:szCs w:val="32"/>
        </w:rPr>
        <w:t>“</w:t>
      </w:r>
      <w:r>
        <w:rPr>
          <w:rFonts w:ascii="Times New Roman" w:cs="Times New Roman" w:eastAsia="楷体_GB2312" w:hAnsi="Times New Roman"/>
          <w:b/>
          <w:sz w:val="32"/>
          <w:szCs w:val="32"/>
        </w:rPr>
        <w:t>三公</w:t>
      </w:r>
      <w:r>
        <w:rPr>
          <w:rFonts w:ascii="Times New Roman" w:cs="Times New Roman" w:eastAsia="楷体_GB2312" w:hAnsi="Times New Roman"/>
          <w:b/>
          <w:sz w:val="32"/>
          <w:szCs w:val="32"/>
        </w:rPr>
        <w:t>”</w:t>
      </w:r>
      <w:r>
        <w:rPr>
          <w:rFonts w:ascii="Times New Roman" w:cs="Times New Roman" w:eastAsia="楷体_GB2312" w:hAnsi="Times New Roman"/>
          <w:b/>
          <w:sz w:val="32"/>
          <w:szCs w:val="32"/>
        </w:rPr>
        <w:t>经费财政拨款支出决算具体情况说明</w:t>
      </w:r>
    </w:p>
    <w:p w14:paraId="438D653E">
      <w:pPr>
        <w:pStyle w:val="style4099"/>
        <w:overflowPunct w:val="false"/>
        <w:autoSpaceDE/>
        <w:autoSpaceDN/>
        <w:spacing w:lineRule="exact" w:line="600"/>
        <w:ind w:firstLine="640" w:firstLineChars="200"/>
        <w:jc w:val="both"/>
        <w:rPr>
          <w:rFonts w:ascii="Times New Roman" w:cs="Times New Roman" w:eastAsia="楷体" w:hAnsi="Times New Roman"/>
          <w:b/>
          <w:bCs/>
          <w:i/>
          <w:color w:val="auto"/>
          <w:sz w:val="32"/>
          <w:szCs w:val="32"/>
        </w:rPr>
      </w:pPr>
      <w:r>
        <w:rPr>
          <w:rFonts w:ascii="Times New Roman" w:cs="Times New Roman" w:eastAsia="仿宋_GB2312" w:hAnsi="Times New Roman"/>
          <w:sz w:val="32"/>
          <w:szCs w:val="32"/>
        </w:rPr>
        <w:t>1.</w:t>
      </w:r>
      <w:r>
        <w:rPr>
          <w:rFonts w:ascii="Times New Roman" w:cs="Times New Roman" w:eastAsia="仿宋_GB2312" w:hAnsi="Times New Roman"/>
          <w:sz w:val="32"/>
          <w:szCs w:val="32"/>
        </w:rPr>
        <w:t>因公出国（境）费支出预算为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万元，支出决算为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万元，完成预算的</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；决算数</w:t>
      </w:r>
      <w:r>
        <w:rPr>
          <w:rFonts w:ascii="Times New Roman" w:cs="Times New Roman" w:eastAsia="仿宋_GB2312" w:hAnsi="Times New Roman"/>
          <w:sz w:val="32"/>
          <w:szCs w:val="32"/>
          <w:lang w:val="en-US"/>
        </w:rPr>
        <w:t>小于</w:t>
      </w:r>
      <w:r>
        <w:rPr>
          <w:rFonts w:ascii="Times New Roman" w:cs="Times New Roman" w:eastAsia="仿宋_GB2312" w:hAnsi="Times New Roman"/>
          <w:sz w:val="32"/>
          <w:szCs w:val="32"/>
        </w:rPr>
        <w:t>预算数的主要原因</w:t>
      </w:r>
      <w:r>
        <w:rPr>
          <w:rFonts w:ascii="Times New Roman" w:cs="Times New Roman" w:eastAsia="仿宋_GB2312" w:hAnsi="Times New Roman"/>
          <w:sz w:val="32"/>
          <w:szCs w:val="32"/>
          <w:lang w:val="en-US"/>
        </w:rPr>
        <w:t>是无因公出国（境）费支出。</w:t>
      </w:r>
    </w:p>
    <w:p w14:paraId="E3C7E68F">
      <w:pPr>
        <w:pStyle w:val="style4099"/>
        <w:overflowPunct w:val="false"/>
        <w:autoSpaceDE/>
        <w:autoSpaceDN/>
        <w:spacing w:lineRule="exact" w:line="600"/>
        <w:ind w:firstLine="640" w:firstLineChars="200"/>
        <w:jc w:val="both"/>
        <w:rPr>
          <w:rFonts w:ascii="Times New Roman" w:cs="Times New Roman" w:eastAsia="楷体" w:hAnsi="Times New Roman"/>
          <w:b/>
          <w:bCs/>
          <w:i/>
          <w:sz w:val="32"/>
          <w:szCs w:val="32"/>
        </w:rPr>
      </w:pPr>
      <w:r>
        <w:rPr>
          <w:rFonts w:ascii="Times New Roman" w:cs="Times New Roman" w:eastAsia="仿宋_GB2312" w:hAnsi="Times New Roman"/>
          <w:sz w:val="32"/>
          <w:szCs w:val="32"/>
        </w:rPr>
        <w:t>2.</w:t>
      </w:r>
      <w:r>
        <w:rPr>
          <w:rFonts w:ascii="Times New Roman" w:cs="Times New Roman" w:eastAsia="仿宋_GB2312" w:hAnsi="Times New Roman"/>
          <w:sz w:val="32"/>
          <w:szCs w:val="32"/>
        </w:rPr>
        <w:t>公务用车购置费及运行维护费支出预算为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万元，支出决算为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万元，完成预算的</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；与上年相比万</w:t>
      </w:r>
      <w:r>
        <w:rPr>
          <w:rFonts w:ascii="Times New Roman" w:cs="Times New Roman" w:eastAsia="仿宋_GB2312" w:hAnsi="Times New Roman"/>
          <w:sz w:val="32"/>
          <w:szCs w:val="32"/>
          <w:lang w:val="en-US"/>
        </w:rPr>
        <w:t>持平</w:t>
      </w:r>
      <w:r>
        <w:rPr>
          <w:rFonts w:ascii="Times New Roman" w:cs="Times New Roman" w:eastAsia="仿宋_GB2312" w:hAnsi="Times New Roman"/>
          <w:sz w:val="32"/>
          <w:szCs w:val="32"/>
        </w:rPr>
        <w:t>，</w:t>
      </w:r>
      <w:r>
        <w:rPr>
          <w:rFonts w:ascii="Times New Roman" w:cs="Times New Roman" w:eastAsia="仿宋_GB2312" w:hAnsi="Times New Roman"/>
          <w:sz w:val="32"/>
          <w:szCs w:val="32"/>
          <w:lang w:val="en-US"/>
        </w:rPr>
        <w:t>于</w:t>
      </w:r>
      <w:r>
        <w:rPr>
          <w:rFonts w:ascii="Times New Roman" w:cs="Times New Roman" w:eastAsia="仿宋_GB2312" w:hAnsi="Times New Roman"/>
          <w:sz w:val="32"/>
          <w:szCs w:val="32"/>
        </w:rPr>
        <w:t>上年数</w:t>
      </w:r>
      <w:r>
        <w:rPr>
          <w:rFonts w:ascii="Times New Roman" w:cs="Times New Roman" w:eastAsia="仿宋_GB2312" w:hAnsi="Times New Roman"/>
          <w:sz w:val="32"/>
          <w:szCs w:val="32"/>
          <w:lang w:val="en-US"/>
        </w:rPr>
        <w:t>持平</w:t>
      </w:r>
      <w:r>
        <w:rPr>
          <w:rFonts w:ascii="Times New Roman" w:cs="Times New Roman" w:eastAsia="仿宋_GB2312" w:hAnsi="Times New Roman"/>
          <w:sz w:val="32"/>
          <w:szCs w:val="32"/>
        </w:rPr>
        <w:t>的主要原因是</w:t>
      </w:r>
      <w:r>
        <w:rPr>
          <w:rFonts w:ascii="Times New Roman" w:cs="Times New Roman" w:eastAsia="仿宋_GB2312" w:hAnsi="Times New Roman"/>
          <w:sz w:val="32"/>
          <w:szCs w:val="32"/>
          <w:lang w:val="en-US"/>
        </w:rPr>
        <w:t>无公务用车购置费及维护费支出。</w:t>
      </w:r>
    </w:p>
    <w:p w14:paraId="E84A6135">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3.</w:t>
      </w:r>
      <w:r>
        <w:rPr>
          <w:rFonts w:ascii="Times New Roman" w:cs="Times New Roman" w:eastAsia="仿宋_GB2312" w:hAnsi="Times New Roman"/>
          <w:sz w:val="32"/>
          <w:szCs w:val="32"/>
        </w:rPr>
        <w:t>公务接待费</w:t>
      </w:r>
      <w:r>
        <w:rPr>
          <w:rFonts w:ascii="Times New Roman" w:cs="Times New Roman" w:eastAsia="仿宋_GB2312" w:hAnsi="Times New Roman"/>
          <w:sz w:val="32"/>
          <w:szCs w:val="32"/>
          <w:lang w:val="en-US"/>
        </w:rPr>
        <w:t>无</w:t>
      </w:r>
      <w:r>
        <w:rPr>
          <w:rFonts w:ascii="Times New Roman" w:cs="Times New Roman" w:eastAsia="仿宋_GB2312" w:hAnsi="Times New Roman"/>
          <w:sz w:val="32"/>
          <w:szCs w:val="32"/>
        </w:rPr>
        <w:t>支出预算为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万元，支出决算为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万元，完成预算的</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w:t>
      </w:r>
      <w:r>
        <w:rPr>
          <w:rFonts w:ascii="Times New Roman" w:cs="Times New Roman" w:eastAsia="仿宋_GB2312" w:hAnsi="Times New Roman"/>
          <w:sz w:val="32"/>
          <w:szCs w:val="32"/>
        </w:rPr>
        <w:t>；与上年相比</w:t>
      </w:r>
      <w:r>
        <w:rPr>
          <w:rFonts w:ascii="Times New Roman" w:cs="Times New Roman" w:eastAsia="仿宋_GB2312" w:hAnsi="Times New Roman"/>
          <w:sz w:val="32"/>
          <w:szCs w:val="32"/>
          <w:lang w:val="en-US"/>
        </w:rPr>
        <w:t>持平</w:t>
      </w:r>
      <w:r>
        <w:rPr>
          <w:rFonts w:ascii="Times New Roman" w:cs="Times New Roman" w:eastAsia="仿宋_GB2312" w:hAnsi="Times New Roman"/>
          <w:sz w:val="32"/>
          <w:szCs w:val="32"/>
        </w:rPr>
        <w:t>。决算数（小于）预算数的主要原因</w:t>
      </w:r>
      <w:r>
        <w:rPr>
          <w:rFonts w:ascii="Times New Roman" w:cs="Times New Roman" w:eastAsia="仿宋_GB2312" w:hAnsi="Times New Roman"/>
          <w:sz w:val="32"/>
          <w:szCs w:val="32"/>
          <w:lang w:val="en-US"/>
        </w:rPr>
        <w:t>是无公务接待费支出</w:t>
      </w: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年度共接待来访团组</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个</w:t>
      </w:r>
      <w:r>
        <w:rPr>
          <w:rFonts w:ascii="Times New Roman" w:cs="Times New Roman" w:eastAsia="仿宋_GB2312" w:hAnsi="Times New Roman"/>
          <w:sz w:val="32"/>
          <w:szCs w:val="32"/>
        </w:rPr>
        <w:t>、来宾</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人次，</w:t>
      </w:r>
      <w:r>
        <w:rPr>
          <w:rFonts w:ascii="Times New Roman" w:cs="Times New Roman" w:eastAsia="仿宋_GB2312" w:hAnsi="Times New Roman"/>
          <w:sz w:val="32"/>
          <w:szCs w:val="32"/>
          <w:lang w:val="en-US"/>
        </w:rPr>
        <w:t>开支内容无</w:t>
      </w:r>
      <w:r>
        <w:rPr>
          <w:rFonts w:ascii="Times New Roman" w:cs="Times New Roman" w:eastAsia="仿宋_GB2312" w:hAnsi="Times New Roman"/>
          <w:sz w:val="32"/>
          <w:szCs w:val="32"/>
        </w:rPr>
        <w:t>。</w:t>
      </w:r>
    </w:p>
    <w:p w14:paraId="72FB3C5C">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八、政府性基金预算收入支出决算情况</w:t>
      </w:r>
    </w:p>
    <w:p w14:paraId="44CDDC6C">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w:t>
      </w:r>
      <w:r>
        <w:rPr>
          <w:rFonts w:ascii="Times New Roman" w:cs="Times New Roman" w:eastAsia="仿宋_GB2312" w:hAnsi="Times New Roman"/>
          <w:sz w:val="32"/>
          <w:szCs w:val="32"/>
          <w:lang w:val="en-US"/>
        </w:rPr>
        <w:t>本单位无</w:t>
      </w:r>
      <w:r>
        <w:rPr>
          <w:rFonts w:ascii="Times New Roman" w:cs="Times New Roman" w:eastAsia="仿宋_GB2312" w:hAnsi="Times New Roman"/>
          <w:sz w:val="32"/>
          <w:szCs w:val="32"/>
        </w:rPr>
        <w:t>政府性基金预算财政拨款收入</w:t>
      </w:r>
      <w:r>
        <w:rPr>
          <w:rFonts w:ascii="Times New Roman" w:cs="Times New Roman" w:eastAsia="仿宋_GB2312" w:hAnsi="Times New Roman"/>
          <w:sz w:val="32"/>
          <w:szCs w:val="32"/>
          <w:lang w:val="en-US"/>
        </w:rPr>
        <w:t>。</w:t>
      </w:r>
    </w:p>
    <w:p w14:paraId="2ACBB67A">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九、关于机关运行经费支出说明</w:t>
      </w:r>
    </w:p>
    <w:p w14:paraId="704D244E">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本部门</w:t>
      </w: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年度机关运行经费支出</w:t>
      </w:r>
      <w:r>
        <w:rPr>
          <w:rFonts w:ascii="Times New Roman" w:cs="Times New Roman" w:eastAsia="仿宋_GB2312" w:hAnsi="Times New Roman"/>
          <w:sz w:val="32"/>
          <w:szCs w:val="32"/>
          <w:lang w:val="en-US"/>
        </w:rPr>
        <w:t>6.84万元，与年初预算持平，主要原因是因为预算较为精准，并严格按照预算执行。</w:t>
      </w:r>
    </w:p>
    <w:p w14:paraId="E4517298">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十、一般性支出情况说明</w:t>
      </w:r>
    </w:p>
    <w:p w14:paraId="6A203A49">
      <w:pPr>
        <w:pStyle w:val="style4099"/>
        <w:overflowPunct w:val="false"/>
        <w:autoSpaceDE/>
        <w:autoSpaceDN/>
        <w:spacing w:lineRule="exact" w:line="600"/>
        <w:ind w:firstLine="640" w:firstLineChars="200"/>
        <w:jc w:val="both"/>
        <w:rPr>
          <w:rFonts w:ascii="Times New Roman" w:cs="Times New Roman" w:eastAsia="楷体" w:hAnsi="Times New Roman"/>
          <w:b/>
          <w:bCs/>
          <w:i/>
          <w:color w:val="auto"/>
          <w:sz w:val="32"/>
          <w:szCs w:val="32"/>
        </w:rPr>
      </w:pP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年本部门</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bidi="ar-SA" w:eastAsia="zh-CN"/>
        </w:rPr>
        <w:t>开支会议费0万元，主要是本年度无需承担场地租赁、布置、参会人员交通食宿等费用。</w:t>
      </w:r>
    </w:p>
    <w:p w14:paraId="14C376D2">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十一、关于政府采购支出说明</w:t>
      </w:r>
    </w:p>
    <w:p w14:paraId="E0037C28">
      <w:pPr>
        <w:pStyle w:val="style4099"/>
        <w:overflowPunct w:val="false"/>
        <w:autoSpaceDE/>
        <w:autoSpaceDN/>
        <w:spacing w:lineRule="exact" w:line="600"/>
        <w:ind w:firstLine="640" w:firstLineChars="200"/>
        <w:jc w:val="both"/>
        <w:rPr>
          <w:rFonts w:ascii="Times New Roman" w:cs="Times New Roman" w:eastAsia="楷体" w:hAnsi="Times New Roman"/>
          <w:b/>
          <w:bCs/>
          <w:i/>
          <w:color w:val="auto"/>
          <w:sz w:val="32"/>
          <w:szCs w:val="32"/>
        </w:rPr>
      </w:pPr>
      <w:r>
        <w:rPr>
          <w:rFonts w:ascii="Times New Roman" w:cs="Times New Roman" w:eastAsia="仿宋_GB2312" w:hAnsi="Times New Roman"/>
          <w:sz w:val="32"/>
          <w:szCs w:val="32"/>
        </w:rPr>
        <w:t>本部门</w:t>
      </w: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年度政府采购支出总额</w:t>
      </w:r>
      <w:r>
        <w:rPr>
          <w:rFonts w:ascii="Times New Roman" w:cs="Times New Roman" w:eastAsia="仿宋_GB2312" w:hAnsi="Times New Roman"/>
          <w:sz w:val="32"/>
          <w:szCs w:val="32"/>
          <w:lang w:val="en-US"/>
        </w:rPr>
        <w:t>7.72</w:t>
      </w:r>
      <w:r>
        <w:rPr>
          <w:rFonts w:ascii="Times New Roman" w:cs="Times New Roman" w:eastAsia="仿宋_GB2312" w:hAnsi="Times New Roman"/>
          <w:sz w:val="32"/>
          <w:szCs w:val="32"/>
        </w:rPr>
        <w:t>万元，其中：政府采购货物支出</w:t>
      </w:r>
      <w:r>
        <w:rPr>
          <w:rFonts w:ascii="Times New Roman" w:cs="Times New Roman" w:eastAsia="仿宋_GB2312" w:hAnsi="Times New Roman"/>
          <w:sz w:val="32"/>
          <w:szCs w:val="32"/>
          <w:lang w:val="en-US"/>
        </w:rPr>
        <w:t>0.41</w:t>
      </w:r>
      <w:r>
        <w:rPr>
          <w:rFonts w:ascii="Times New Roman" w:cs="Times New Roman" w:eastAsia="仿宋_GB2312" w:hAnsi="Times New Roman"/>
          <w:sz w:val="32"/>
          <w:szCs w:val="32"/>
        </w:rPr>
        <w:t>万元、政府采购工程支出</w:t>
      </w:r>
      <w:r>
        <w:rPr>
          <w:rFonts w:ascii="Times New Roman" w:cs="Times New Roman" w:eastAsia="仿宋_GB2312" w:hAnsi="Times New Roman"/>
          <w:sz w:val="32"/>
          <w:szCs w:val="32"/>
          <w:lang w:val="en-US"/>
        </w:rPr>
        <w:t>0</w:t>
      </w:r>
      <w:r>
        <w:rPr>
          <w:rFonts w:ascii="Times New Roman" w:cs="Times New Roman" w:eastAsia="仿宋_GB2312" w:hAnsi="Times New Roman"/>
          <w:sz w:val="32"/>
          <w:szCs w:val="32"/>
        </w:rPr>
        <w:t>万元、政府采购服务支出</w:t>
      </w:r>
      <w:r>
        <w:rPr>
          <w:rFonts w:ascii="Times New Roman" w:cs="Times New Roman" w:eastAsia="仿宋_GB2312" w:hAnsi="Times New Roman"/>
          <w:sz w:val="32"/>
          <w:szCs w:val="32"/>
          <w:lang w:val="en-US"/>
        </w:rPr>
        <w:t>7.31</w:t>
      </w:r>
      <w:r>
        <w:rPr>
          <w:rFonts w:ascii="Times New Roman" w:cs="Times New Roman" w:eastAsia="仿宋_GB2312" w:hAnsi="Times New Roman"/>
          <w:sz w:val="32"/>
          <w:szCs w:val="32"/>
        </w:rPr>
        <w:t>万元。授予中小企业合同金额</w:t>
      </w:r>
      <w:r>
        <w:rPr>
          <w:rFonts w:ascii="Times New Roman" w:cs="Times New Roman" w:eastAsia="仿宋_GB2312" w:hAnsi="Times New Roman"/>
          <w:sz w:val="32"/>
          <w:szCs w:val="32"/>
          <w:lang w:val="en-US"/>
        </w:rPr>
        <w:t>7.72</w:t>
      </w:r>
      <w:r>
        <w:rPr>
          <w:rFonts w:ascii="Times New Roman" w:cs="Times New Roman" w:eastAsia="仿宋_GB2312" w:hAnsi="Times New Roman"/>
          <w:sz w:val="32"/>
          <w:szCs w:val="32"/>
        </w:rPr>
        <w:t>万元，占政府采购支出总额的</w:t>
      </w:r>
      <w:r>
        <w:rPr>
          <w:rFonts w:ascii="Times New Roman" w:cs="Times New Roman" w:eastAsia="仿宋_GB2312" w:hAnsi="Times New Roman"/>
          <w:sz w:val="32"/>
          <w:szCs w:val="32"/>
          <w:lang w:val="en-US"/>
        </w:rPr>
        <w:t>100</w:t>
      </w:r>
      <w:r>
        <w:rPr>
          <w:rFonts w:ascii="Times New Roman" w:cs="Times New Roman" w:eastAsia="仿宋_GB2312" w:hAnsi="Times New Roman"/>
          <w:sz w:val="32"/>
          <w:szCs w:val="32"/>
        </w:rPr>
        <w:t>%</w:t>
      </w:r>
      <w:r>
        <w:rPr>
          <w:rFonts w:ascii="Times New Roman" w:cs="Times New Roman" w:eastAsia="仿宋_GB2312" w:hAnsi="Times New Roman"/>
          <w:sz w:val="32"/>
          <w:szCs w:val="32"/>
        </w:rPr>
        <w:t>，其中：授予小</w:t>
      </w:r>
      <w:r>
        <w:rPr>
          <w:rFonts w:ascii="Times New Roman" w:cs="Times New Roman" w:eastAsia="仿宋_GB2312" w:hAnsi="Times New Roman"/>
          <w:sz w:val="32"/>
          <w:szCs w:val="32"/>
        </w:rPr>
        <w:t>微企业</w:t>
      </w:r>
      <w:r>
        <w:rPr>
          <w:rFonts w:ascii="Times New Roman" w:cs="Times New Roman" w:eastAsia="仿宋_GB2312" w:hAnsi="Times New Roman"/>
          <w:sz w:val="32"/>
          <w:szCs w:val="32"/>
        </w:rPr>
        <w:t>合同金额</w:t>
      </w:r>
      <w:r>
        <w:rPr>
          <w:rFonts w:ascii="Times New Roman" w:cs="Times New Roman" w:eastAsia="仿宋_GB2312" w:hAnsi="Times New Roman"/>
          <w:sz w:val="32"/>
          <w:szCs w:val="32"/>
          <w:lang w:val="en-US"/>
        </w:rPr>
        <w:t>7.72</w:t>
      </w:r>
      <w:r>
        <w:rPr>
          <w:rFonts w:ascii="Times New Roman" w:cs="Times New Roman" w:eastAsia="仿宋_GB2312" w:hAnsi="Times New Roman"/>
          <w:sz w:val="32"/>
          <w:szCs w:val="32"/>
        </w:rPr>
        <w:t>万元，</w:t>
      </w:r>
      <w:r>
        <w:rPr>
          <w:rFonts w:ascii="Times New Roman" w:cs="Times New Roman" w:eastAsia="仿宋_GB2312" w:hAnsi="Times New Roman"/>
          <w:color w:val="auto"/>
          <w:sz w:val="32"/>
          <w:szCs w:val="32"/>
        </w:rPr>
        <w:t>占授予中小企业合同金额的</w:t>
      </w:r>
      <w:r>
        <w:rPr>
          <w:rFonts w:ascii="Times New Roman" w:cs="Times New Roman" w:eastAsia="仿宋_GB2312" w:hAnsi="Times New Roman"/>
          <w:color w:val="auto"/>
          <w:sz w:val="32"/>
          <w:szCs w:val="32"/>
          <w:lang w:val="en-US"/>
        </w:rPr>
        <w:t>100</w:t>
      </w:r>
      <w:r>
        <w:rPr>
          <w:rFonts w:ascii="Times New Roman" w:cs="Times New Roman" w:eastAsia="仿宋_GB2312" w:hAnsi="Times New Roman"/>
          <w:color w:val="auto"/>
          <w:sz w:val="32"/>
          <w:szCs w:val="32"/>
        </w:rPr>
        <w:t>%</w:t>
      </w:r>
      <w:r>
        <w:rPr>
          <w:rFonts w:ascii="Times New Roman" w:cs="Times New Roman" w:eastAsia="仿宋_GB2312" w:hAnsi="Times New Roman"/>
          <w:color w:val="auto"/>
          <w:sz w:val="32"/>
          <w:szCs w:val="32"/>
        </w:rPr>
        <w:t>。货物采购授予中小企业合同金额占货物支出金额的</w:t>
      </w:r>
      <w:r>
        <w:rPr>
          <w:rFonts w:ascii="Times New Roman" w:cs="Times New Roman" w:eastAsia="仿宋_GB2312" w:hAnsi="Times New Roman"/>
          <w:color w:val="auto"/>
          <w:sz w:val="32"/>
          <w:szCs w:val="32"/>
          <w:lang w:val="en-US"/>
        </w:rPr>
        <w:t>5.31</w:t>
      </w:r>
      <w:r>
        <w:rPr>
          <w:rFonts w:ascii="Times New Roman" w:cs="Times New Roman" w:eastAsia="仿宋_GB2312" w:hAnsi="Times New Roman"/>
          <w:color w:val="auto"/>
          <w:sz w:val="32"/>
          <w:szCs w:val="32"/>
        </w:rPr>
        <w:t>%</w:t>
      </w:r>
      <w:r>
        <w:rPr>
          <w:rFonts w:ascii="Times New Roman" w:cs="Times New Roman" w:eastAsia="仿宋_GB2312" w:hAnsi="Times New Roman"/>
          <w:color w:val="auto"/>
          <w:sz w:val="32"/>
          <w:szCs w:val="32"/>
        </w:rPr>
        <w:t>，工程采购授予中小企</w:t>
      </w:r>
      <w:r>
        <w:rPr>
          <w:rFonts w:ascii="Times New Roman" w:cs="Times New Roman" w:eastAsia="仿宋_GB2312" w:hAnsi="Times New Roman"/>
          <w:color w:val="auto"/>
          <w:sz w:val="32"/>
          <w:szCs w:val="32"/>
        </w:rPr>
        <w:t>业合同金额占工程支出金额的</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w:t>
      </w:r>
      <w:r>
        <w:rPr>
          <w:rFonts w:ascii="Times New Roman" w:cs="Times New Roman" w:eastAsia="仿宋_GB2312" w:hAnsi="Times New Roman"/>
          <w:color w:val="auto"/>
          <w:sz w:val="32"/>
          <w:szCs w:val="32"/>
        </w:rPr>
        <w:t>，服务采购授予中小企业合同金额占服务支出金额的</w:t>
      </w:r>
      <w:r>
        <w:rPr>
          <w:rFonts w:ascii="Times New Roman" w:cs="Times New Roman" w:eastAsia="仿宋_GB2312" w:hAnsi="Times New Roman"/>
          <w:color w:val="auto"/>
          <w:sz w:val="32"/>
          <w:szCs w:val="32"/>
          <w:lang w:val="en-US"/>
        </w:rPr>
        <w:t>94.69</w:t>
      </w:r>
      <w:r>
        <w:rPr>
          <w:rFonts w:ascii="Times New Roman" w:cs="Times New Roman" w:eastAsia="仿宋_GB2312" w:hAnsi="Times New Roman"/>
          <w:color w:val="auto"/>
          <w:sz w:val="32"/>
          <w:szCs w:val="32"/>
        </w:rPr>
        <w:t>%</w:t>
      </w:r>
      <w:r>
        <w:rPr>
          <w:rFonts w:ascii="Times New Roman" w:cs="Times New Roman" w:eastAsia="仿宋_GB2312" w:hAnsi="Times New Roman"/>
          <w:color w:val="auto"/>
          <w:sz w:val="32"/>
          <w:szCs w:val="32"/>
        </w:rPr>
        <w:t>。</w:t>
      </w:r>
    </w:p>
    <w:p w14:paraId="8F4D8FD7">
      <w:pPr>
        <w:pStyle w:val="style4099"/>
        <w:overflowPunct w:val="false"/>
        <w:autoSpaceDE/>
        <w:autoSpaceDN/>
        <w:spacing w:lineRule="exact" w:line="600"/>
        <w:ind w:firstLine="640" w:firstLineChars="200"/>
        <w:jc w:val="both"/>
        <w:rPr>
          <w:rFonts w:ascii="Times New Roman" w:cs="Times New Roman" w:hAnsi="Times New Roman"/>
          <w:bCs/>
          <w:color w:val="auto"/>
          <w:sz w:val="32"/>
          <w:szCs w:val="32"/>
        </w:rPr>
      </w:pPr>
      <w:r>
        <w:rPr>
          <w:rFonts w:ascii="Times New Roman" w:cs="Times New Roman" w:hAnsi="Times New Roman"/>
          <w:bCs/>
          <w:color w:val="auto"/>
          <w:sz w:val="32"/>
          <w:szCs w:val="32"/>
        </w:rPr>
        <w:t>十二、关于国有资产占用情况说明</w:t>
      </w:r>
    </w:p>
    <w:p w14:paraId="D51B46CD">
      <w:pPr>
        <w:overflowPunct w:val="false"/>
        <w:adjustRightInd w:val="false"/>
        <w:spacing w:lineRule="exact" w:line="600"/>
        <w:ind w:firstLine="640" w:firstLineChars="200"/>
        <w:jc w:val="both"/>
        <w:rPr>
          <w:rFonts w:ascii="Times New Roman" w:cs="Times New Roman" w:eastAsia="仿宋_GB2312" w:hAnsi="Times New Roman"/>
          <w:color w:val="auto"/>
          <w:sz w:val="32"/>
          <w:szCs w:val="32"/>
          <w:lang w:val="en-US"/>
        </w:rPr>
      </w:pPr>
      <w:r>
        <w:rPr>
          <w:rFonts w:ascii="Times New Roman" w:cs="Times New Roman" w:eastAsia="仿宋_GB2312" w:hAnsi="Times New Roman"/>
          <w:color w:val="auto"/>
          <w:sz w:val="32"/>
          <w:szCs w:val="32"/>
        </w:rPr>
        <w:t>截至</w:t>
      </w:r>
      <w:r>
        <w:rPr>
          <w:rFonts w:ascii="Times New Roman" w:cs="Times New Roman" w:eastAsia="仿宋_GB2312" w:hAnsi="Times New Roman"/>
          <w:color w:val="auto"/>
          <w:sz w:val="32"/>
          <w:szCs w:val="32"/>
        </w:rPr>
        <w:t>2024</w:t>
      </w:r>
      <w:r>
        <w:rPr>
          <w:rFonts w:ascii="Times New Roman" w:cs="Times New Roman" w:eastAsia="仿宋_GB2312" w:hAnsi="Times New Roman"/>
          <w:color w:val="auto"/>
          <w:sz w:val="32"/>
          <w:szCs w:val="32"/>
        </w:rPr>
        <w:t>年</w:t>
      </w:r>
      <w:r>
        <w:rPr>
          <w:rFonts w:ascii="Times New Roman" w:cs="Times New Roman" w:eastAsia="仿宋_GB2312" w:hAnsi="Times New Roman"/>
          <w:color w:val="auto"/>
          <w:sz w:val="32"/>
          <w:szCs w:val="32"/>
        </w:rPr>
        <w:t>12</w:t>
      </w:r>
      <w:r>
        <w:rPr>
          <w:rFonts w:ascii="Times New Roman" w:cs="Times New Roman" w:eastAsia="仿宋_GB2312" w:hAnsi="Times New Roman"/>
          <w:color w:val="auto"/>
          <w:sz w:val="32"/>
          <w:szCs w:val="32"/>
        </w:rPr>
        <w:t>月</w:t>
      </w:r>
      <w:r>
        <w:rPr>
          <w:rFonts w:ascii="Times New Roman" w:cs="Times New Roman" w:eastAsia="仿宋_GB2312" w:hAnsi="Times New Roman"/>
          <w:color w:val="auto"/>
          <w:sz w:val="32"/>
          <w:szCs w:val="32"/>
        </w:rPr>
        <w:t>31</w:t>
      </w:r>
      <w:r>
        <w:rPr>
          <w:rFonts w:ascii="Times New Roman" w:cs="Times New Roman" w:eastAsia="仿宋_GB2312" w:hAnsi="Times New Roman"/>
          <w:color w:val="auto"/>
          <w:sz w:val="32"/>
          <w:szCs w:val="32"/>
        </w:rPr>
        <w:t>日，单位共有车辆</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辆，其中，副部（省）级及以上领导用车</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辆、主要负责人用车</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辆、机要通信用车</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辆、应急保障用车</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辆、执法执勤用车</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辆、特种专业技术用车</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辆、离退休干部服务用车</w:t>
      </w:r>
      <w:r>
        <w:rPr>
          <w:rFonts w:ascii="Times New Roman" w:cs="Times New Roman" w:eastAsia="仿宋_GB2312" w:hAnsi="Times New Roman"/>
          <w:color w:val="auto"/>
          <w:sz w:val="32"/>
          <w:szCs w:val="32"/>
          <w:lang w:val="en-US"/>
        </w:rPr>
        <w:t>0</w:t>
      </w:r>
      <w:r>
        <w:rPr>
          <w:rFonts w:ascii="Times New Roman" w:cs="Times New Roman" w:eastAsia="仿宋_GB2312" w:hAnsi="Times New Roman"/>
          <w:color w:val="auto"/>
          <w:sz w:val="32"/>
          <w:szCs w:val="32"/>
        </w:rPr>
        <w:t>辆</w:t>
      </w:r>
      <w:r>
        <w:rPr>
          <w:rFonts w:ascii="Times New Roman" w:cs="Times New Roman" w:eastAsia="仿宋_GB2312" w:hAnsi="Times New Roman"/>
          <w:color w:val="auto"/>
          <w:sz w:val="32"/>
          <w:szCs w:val="32"/>
          <w:lang w:val="en-US"/>
        </w:rPr>
        <w:t>。</w:t>
      </w:r>
    </w:p>
    <w:p w14:paraId="7E65FB3B">
      <w:pPr>
        <w:overflowPunct w:val="false"/>
        <w:adjustRightInd w:val="false"/>
        <w:spacing w:lineRule="exact" w:line="600"/>
        <w:ind w:firstLine="640" w:firstLineChars="200"/>
        <w:jc w:val="both"/>
        <w:rPr/>
      </w:pPr>
      <w:r>
        <w:rPr>
          <w:rFonts w:ascii="Times New Roman" w:cs="Times New Roman" w:eastAsia="黑体" w:hAnsi="Times New Roman" w:hint="default"/>
          <w:b w:val="false"/>
          <w:bCs w:val="false"/>
          <w:i w:val="false"/>
          <w:iCs w:val="false"/>
          <w:color w:val="auto"/>
          <w:sz w:val="32"/>
          <w:szCs w:val="32"/>
          <w:highlight w:val="none"/>
          <w:vertAlign w:val="baseline"/>
          <w:em w:val="none"/>
          <w:lang w:val="en-US" w:eastAsia="zh-CN"/>
        </w:rPr>
        <w:t>十三、关于</w:t>
      </w:r>
      <w:r>
        <w:rPr>
          <w:rFonts w:ascii="Times New Roman" w:cs="Times New Roman" w:eastAsia="仿宋_GB2312" w:hAnsi="Times New Roman" w:hint="default"/>
          <w:b w:val="false"/>
          <w:bCs w:val="false"/>
          <w:i w:val="false"/>
          <w:iCs w:val="false"/>
          <w:color w:val="auto"/>
          <w:sz w:val="32"/>
          <w:szCs w:val="32"/>
          <w:highlight w:val="none"/>
          <w:vertAlign w:val="baseline"/>
          <w:em w:val="none"/>
          <w:lang w:val="en-US" w:eastAsia="zh-CN"/>
        </w:rPr>
        <w:t>2024</w:t>
      </w:r>
      <w:r>
        <w:rPr>
          <w:rFonts w:ascii="Times New Roman" w:cs="Times New Roman" w:eastAsia="黑体" w:hAnsi="Times New Roman" w:hint="default"/>
          <w:b w:val="false"/>
          <w:bCs w:val="false"/>
          <w:i w:val="false"/>
          <w:iCs w:val="false"/>
          <w:color w:val="auto"/>
          <w:sz w:val="32"/>
          <w:szCs w:val="32"/>
          <w:highlight w:val="none"/>
          <w:vertAlign w:val="baseline"/>
          <w:em w:val="none"/>
          <w:lang w:val="en-US" w:eastAsia="zh-CN"/>
        </w:rPr>
        <w:t>年度预算绩效情况的说明</w:t>
      </w:r>
    </w:p>
    <w:p w14:paraId="23D6F6E9">
      <w:pPr>
        <w:overflowPunct w:val="false"/>
        <w:spacing w:lineRule="exact" w:line="600"/>
        <w:ind w:firstLine="640" w:firstLineChars="200"/>
        <w:jc w:val="both"/>
        <w:rPr/>
      </w:pPr>
      <w:r>
        <w:rPr>
          <w:rFonts w:ascii="Times New Roman" w:cs="Times New Roman" w:eastAsia="楷体_GB2312" w:hAnsi="Times New Roman" w:hint="default"/>
          <w:b/>
          <w:bCs/>
          <w:i w:val="false"/>
          <w:iCs w:val="false"/>
          <w:color w:val="auto"/>
          <w:kern w:val="2"/>
          <w:sz w:val="32"/>
          <w:szCs w:val="32"/>
          <w:highlight w:val="none"/>
          <w:vertAlign w:val="baseline"/>
          <w:em w:val="none"/>
          <w:lang w:val="en-US" w:eastAsia="zh-CN"/>
        </w:rPr>
        <w:t>（一）绩效评价工作开展情况。</w:t>
      </w:r>
      <w:r>
        <w:rPr>
          <w:rFonts w:ascii="Times New Roman" w:cs="Times New Roman" w:eastAsia="仿宋_GB2312" w:hAnsi="Times New Roman" w:hint="default"/>
          <w:b/>
          <w:bCs/>
          <w:i w:val="false"/>
          <w:iCs w:val="false"/>
          <w:color w:val="auto"/>
          <w:kern w:val="0"/>
          <w:sz w:val="32"/>
          <w:szCs w:val="32"/>
          <w:highlight w:val="none"/>
          <w:vertAlign w:val="baseline"/>
          <w:em w:val="none"/>
          <w:lang w:val="en-US" w:eastAsia="zh-CN"/>
        </w:rPr>
        <w:t>一是绩效自评开展情况。</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组织对</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2024</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 xml:space="preserve">年度本部门（单位）整体支出开展绩效自评，涉及项目1 </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个</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，共涉及资金40.4万元。其中，一般</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 xml:space="preserve">公共预算项目1个40.4 </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万元，占一般公共预算支出总额的100%</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 xml:space="preserve">；政府性基金预算项目0 </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 xml:space="preserve">个0 </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万元，占政府性基金预算支出总额的0%</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 xml:space="preserve">；国有资本经营预算项目0 </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 xml:space="preserve">个0 </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万元，占国有资本经营预算支出总额的0%</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 xml:space="preserve">；社会保险基金预算项目0个0 </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万元，占社会保险基金预算支出总额的0%</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w:t>
      </w:r>
    </w:p>
    <w:p w14:paraId="50E72117">
      <w:pPr>
        <w:spacing w:beforeAutospacing="true" w:afterAutospacing="true" w:lineRule="atLeast" w:line="33"/>
        <w:ind w:firstLine="640" w:firstLineChars="200"/>
        <w:jc w:val="both"/>
        <w:rPr/>
      </w:pPr>
      <w:r>
        <w:rPr>
          <w:rFonts w:ascii="Times New Roman" w:cs="Times New Roman" w:eastAsia="楷体_GB2312" w:hAnsi="Times New Roman" w:hint="default"/>
          <w:b/>
          <w:bCs/>
          <w:i w:val="false"/>
          <w:iCs w:val="false"/>
          <w:color w:val="auto"/>
          <w:kern w:val="2"/>
          <w:sz w:val="32"/>
          <w:szCs w:val="32"/>
          <w:highlight w:val="none"/>
          <w:vertAlign w:val="baseline"/>
          <w:em w:val="none"/>
          <w:lang w:val="en-US" w:eastAsia="zh-CN"/>
        </w:rPr>
        <w:t>（二）绩效评价结果。</w:t>
      </w:r>
      <w:r>
        <w:rPr>
          <w:rFonts w:ascii="Times New Roman" w:cs="Times New Roman" w:eastAsia="仿宋_GB2312" w:hAnsi="Times New Roman" w:hint="default"/>
          <w:b/>
          <w:bCs/>
          <w:i w:val="false"/>
          <w:iCs w:val="false"/>
          <w:color w:val="auto"/>
          <w:kern w:val="0"/>
          <w:sz w:val="32"/>
          <w:szCs w:val="32"/>
          <w:highlight w:val="none"/>
          <w:vertAlign w:val="baseline"/>
          <w:em w:val="none"/>
          <w:lang w:val="en-US" w:eastAsia="zh-CN"/>
        </w:rPr>
        <w:t>一是绩效自评结果。</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2024</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年度本部门（单位）整体支出</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eastAsia="zh-CN"/>
        </w:rPr>
        <w:t>全年预算数46.99万元，执行数40.4万元，完成预算的85.97%</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，绩效自评得分98</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eastAsia="zh-CN"/>
        </w:rPr>
        <w:t>分</w:t>
      </w:r>
      <w:r>
        <w:rPr>
          <w:rFonts w:ascii="Times New Roman" w:cs="Times New Roman" w:eastAsia="仿宋_GB2312" w:hAnsi="Times New Roman" w:hint="default"/>
          <w:b w:val="false"/>
          <w:bCs w:val="false"/>
          <w:i w:val="false"/>
          <w:iCs w:val="false"/>
          <w:color w:val="auto"/>
          <w:kern w:val="0"/>
          <w:sz w:val="32"/>
          <w:szCs w:val="32"/>
          <w:highlight w:val="none"/>
          <w:vertAlign w:val="baseline"/>
          <w:em w:val="none"/>
          <w:lang w:val="en-US" w:eastAsia="zh-CN"/>
        </w:rPr>
        <w:t>，评价等级为</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eastAsia="zh-CN"/>
        </w:rPr>
        <w:t>“优秀”</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eastAsia="zh-CN"/>
        </w:rPr>
        <w:t>。绩效目标完成情况：</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绩效目标完成情况：一是</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一般公共预算支出，执行100%</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；二是</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社会保险基金预算支出，执行0%</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。发现的主要问题及原因：一是</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预算编制前瞻性不够</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；二是</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政府采购预算依然没有摆脱求多求全的心态，编制精细度不高</w:t>
      </w:r>
      <w:r>
        <w:rPr>
          <w:rFonts w:ascii="Times New Roman" w:cs="Times New Roman" w:eastAsia="仿宋_GB2312" w:hAnsi="Times New Roman" w:hint="default"/>
          <w:b w:val="false"/>
          <w:bCs w:val="false"/>
          <w:i w:val="false"/>
          <w:iCs w:val="false"/>
          <w:color w:val="auto"/>
          <w:kern w:val="2"/>
          <w:sz w:val="32"/>
          <w:szCs w:val="32"/>
          <w:highlight w:val="none"/>
          <w:vertAlign w:val="baseline"/>
          <w:em w:val="none"/>
          <w:lang w:val="en-US" w:bidi="ar-SA" w:eastAsia="zh-CN"/>
        </w:rPr>
        <w:t>。下一步改进措施：</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1、进一步细化预算编制。注重加强收支预测，提高预算质量，科学合理编制部门预算，推进预算编制科学性、准确性，处理好财力可能与支出需求的关系，聚力优结构，严控非刚性、非重点项目等一般性支出。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14:paraId="6D04F8F4">
      <w:pPr>
        <w:pStyle w:val="style4099"/>
        <w:overflowPunct w:val="false"/>
        <w:autoSpaceDE/>
        <w:autoSpaceDN/>
        <w:spacing w:lineRule="exact" w:line="600"/>
        <w:ind w:firstLine="640" w:firstLineChars="200"/>
        <w:jc w:val="both"/>
        <w:rPr>
          <w:rFonts w:ascii="Times New Roman" w:cs="Times New Roman" w:eastAsia="仿宋_GB2312" w:hAnsi="Times New Roman"/>
          <w:color w:val="auto"/>
          <w:sz w:val="32"/>
          <w:szCs w:val="32"/>
        </w:rPr>
      </w:pPr>
      <w:r>
        <w:rPr>
          <w:rFonts w:ascii="Times New Roman" w:cs="Times New Roman" w:eastAsia="楷体_GB2312" w:hAnsi="Times New Roman" w:hint="default"/>
          <w:b/>
          <w:bCs/>
          <w:i w:val="false"/>
          <w:iCs w:val="false"/>
          <w:color w:val="auto"/>
          <w:kern w:val="2"/>
          <w:sz w:val="32"/>
          <w:szCs w:val="32"/>
          <w:highlight w:val="none"/>
          <w:vertAlign w:val="baseline"/>
          <w:em w:val="none"/>
          <w:lang w:val="en-US" w:eastAsia="zh-CN"/>
        </w:rPr>
        <w:t>（三）评价结果应用情况。</w:t>
      </w:r>
      <w:r>
        <w:rPr>
          <w:rFonts w:ascii="仿宋_GB2312" w:cs="仿宋_GB2312" w:eastAsia="仿宋_GB2312" w:hAnsi="仿宋_GB2312" w:hint="default"/>
          <w:b w:val="false"/>
          <w:bCs w:val="false"/>
          <w:i w:val="false"/>
          <w:iCs w:val="false"/>
          <w:color w:val="000000"/>
          <w:sz w:val="32"/>
          <w:szCs w:val="32"/>
          <w:highlight w:val="none"/>
          <w:vertAlign w:val="baseline"/>
          <w:em w:val="none"/>
          <w:lang w:val="en-US" w:bidi="ar-SA" w:eastAsia="zh-CN"/>
        </w:rPr>
        <w:t>要注重绩效评价结果的运用，对照绩效评价工作中发现的问题，结合绩效评价报告中提出的整改意见，进一步完善预算管理机制，结合绩效评价报告中提出的整改意见，进一步完善预算管理机制，增强支出责任，规范资金使用，强化监督检查，强化财政资金管理水平，提高财政资金使用效益，为预算资金使用效益的提高提供基础保障。</w:t>
      </w:r>
    </w:p>
    <w:p w14:paraId="97627844">
      <w:pPr>
        <w:pStyle w:val="style4099"/>
        <w:jc w:val="left"/>
        <w:rPr>
          <w:rFonts w:ascii="Times New Roman" w:cs="Times New Roman" w:hAnsi="Times New Roman"/>
          <w:sz w:val="72"/>
          <w:szCs w:val="72"/>
        </w:rPr>
      </w:pPr>
    </w:p>
    <w:p w14:paraId="79F7CD64">
      <w:pPr>
        <w:pStyle w:val="style4099"/>
        <w:jc w:val="center"/>
        <w:rPr>
          <w:rFonts w:ascii="Times New Roman" w:cs="Times New Roman" w:hAnsi="Times New Roman"/>
          <w:sz w:val="72"/>
          <w:szCs w:val="72"/>
        </w:rPr>
      </w:pPr>
    </w:p>
    <w:p w14:paraId="ACB0D2EE">
      <w:pPr>
        <w:pStyle w:val="style4099"/>
        <w:jc w:val="both"/>
        <w:rPr>
          <w:rFonts w:ascii="Times New Roman" w:cs="Times New Roman" w:hAnsi="Times New Roman"/>
          <w:sz w:val="72"/>
          <w:szCs w:val="72"/>
        </w:rPr>
      </w:pPr>
    </w:p>
    <w:p w14:paraId="D51906B5">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第四部分</w:t>
      </w:r>
      <w:r>
        <w:rPr>
          <w:rFonts w:ascii="Times New Roman" w:cs="Times New Roman" w:eastAsia="方正小标宋_GBK" w:hAnsi="Times New Roman"/>
          <w:sz w:val="52"/>
          <w:szCs w:val="52"/>
        </w:rPr>
        <w:t xml:space="preserve">    </w:t>
      </w:r>
      <w:r>
        <w:rPr>
          <w:rFonts w:ascii="Times New Roman" w:cs="Times New Roman" w:eastAsia="方正小标宋_GBK" w:hAnsi="Times New Roman"/>
          <w:sz w:val="52"/>
          <w:szCs w:val="52"/>
        </w:rPr>
        <w:t>名词解释</w:t>
      </w:r>
    </w:p>
    <w:p w14:paraId="E09F46FA">
      <w:pPr>
        <w:pStyle w:val="style0"/>
        <w:widowControl/>
        <w:jc w:val="left"/>
        <w:rPr>
          <w:rFonts w:ascii="Times New Roman" w:cs="Times New Roman" w:hAnsi="Times New Roman"/>
          <w:color w:val="000000"/>
          <w:kern w:val="0"/>
          <w:sz w:val="32"/>
          <w:szCs w:val="32"/>
        </w:rPr>
      </w:pPr>
    </w:p>
    <w:p w14:paraId="13B20CA1">
      <w:pPr>
        <w:pStyle w:val="style0"/>
        <w:widowControl/>
        <w:ind w:firstLine="640" w:firstLineChars="2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一、</w:t>
      </w:r>
      <w:r>
        <w:rPr>
          <w:rFonts w:ascii="Times New Roman" w:cs="Times New Roman" w:eastAsia="仿宋_GB2312" w:hAnsi="Times New Roman"/>
          <w:b/>
          <w:bCs/>
          <w:color w:val="000000"/>
          <w:kern w:val="0"/>
          <w:sz w:val="32"/>
          <w:szCs w:val="32"/>
          <w:lang w:val="en-US"/>
        </w:rPr>
        <w:t>机关运行经费</w:t>
      </w:r>
      <w:r>
        <w:rPr>
          <w:rFonts w:ascii="Times New Roman" w:cs="Times New Roman" w:eastAsia="仿宋_GB2312" w:hAnsi="Times New Roman"/>
          <w:color w:val="000000"/>
          <w:kern w:val="0"/>
          <w:sz w:val="32"/>
          <w:szCs w:val="32"/>
          <w:lang w:val="en-US"/>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9DE85729">
      <w:pPr>
        <w:pStyle w:val="style0"/>
        <w:ind w:firstLine="640" w:firstLineChars="2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二、</w:t>
      </w:r>
      <w:r>
        <w:rPr>
          <w:rFonts w:ascii="Times New Roman" w:cs="Times New Roman" w:eastAsia="仿宋_GB2312" w:hAnsi="Times New Roman"/>
          <w:b/>
          <w:bCs/>
          <w:color w:val="000000"/>
          <w:kern w:val="0"/>
          <w:sz w:val="32"/>
          <w:szCs w:val="32"/>
          <w:lang w:val="en-US"/>
        </w:rPr>
        <w:t>“三公”经费</w:t>
      </w:r>
      <w:r>
        <w:rPr>
          <w:rFonts w:ascii="Times New Roman" w:cs="Times New Roman" w:eastAsia="仿宋_GB2312" w:hAnsi="Times New Roman"/>
          <w:color w:val="000000"/>
          <w:kern w:val="0"/>
          <w:sz w:val="32"/>
          <w:szCs w:val="32"/>
          <w:lang w:val="en-US"/>
        </w:rPr>
        <w:t>。纳入财政预算管理的“三公“经费，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A07BCE93">
      <w:pPr>
        <w:pStyle w:val="style0"/>
        <w:ind w:firstLine="640" w:firstLineChars="200"/>
        <w:jc w:val="left"/>
        <w:rPr>
          <w:rFonts w:ascii="Times New Roman" w:cs="Times New Roman" w:hAnsi="Times New Roman"/>
          <w:color w:val="000000"/>
          <w:kern w:val="0"/>
          <w:sz w:val="32"/>
          <w:szCs w:val="32"/>
        </w:rPr>
      </w:pPr>
      <w:r>
        <w:rPr>
          <w:rFonts w:ascii="Times New Roman" w:cs="Times New Roman" w:eastAsia="仿宋_GB2312" w:hAnsi="Times New Roman"/>
          <w:color w:val="000000"/>
          <w:kern w:val="0"/>
          <w:sz w:val="32"/>
          <w:szCs w:val="32"/>
        </w:rPr>
        <w:t>三、</w:t>
      </w:r>
      <w:r>
        <w:rPr>
          <w:rFonts w:ascii="楷体_GB2312" w:cs="楷体_GB2312" w:eastAsia="楷体_GB2312" w:hAnsi="楷体_GB2312" w:hint="default"/>
          <w:b/>
          <w:bCs/>
          <w:i w:val="false"/>
          <w:iCs w:val="false"/>
          <w:color w:val="000000"/>
          <w:kern w:val="2"/>
          <w:sz w:val="32"/>
          <w:szCs w:val="32"/>
          <w:highlight w:val="none"/>
          <w:shd w:val="clear" w:color="ffffff" w:fill="ffffff"/>
          <w:vertAlign w:val="baseline"/>
          <w:em w:val="none"/>
          <w:lang w:val="en-US" w:bidi="ar-SA" w:eastAsia="zh-CN"/>
        </w:rPr>
        <w:t>基本支出。</w:t>
      </w:r>
      <w:r>
        <w:rPr>
          <w:rFonts w:ascii="仿宋_GB2312" w:cs="仿宋_GB2312" w:eastAsia="仿宋_GB2312" w:hAnsi="仿宋_GB2312" w:hint="default"/>
          <w:b w:val="false"/>
          <w:bCs w:val="false"/>
          <w:i w:val="false"/>
          <w:iCs w:val="false"/>
          <w:color w:val="000000"/>
          <w:kern w:val="2"/>
          <w:sz w:val="32"/>
          <w:szCs w:val="32"/>
          <w:highlight w:val="none"/>
          <w:shd w:val="clear" w:color="ffffff" w:fill="ffffff"/>
          <w:vertAlign w:val="baseline"/>
          <w:em w:val="none"/>
          <w:lang w:val="en-US" w:bidi="ar-SA" w:eastAsia="zh-CN"/>
        </w:rPr>
        <w:t>指为保障机构正常运转、完成日常工作任务而发生的人员支出和公用支出。</w:t>
      </w:r>
    </w:p>
    <w:p w14:paraId="3EF18EBF">
      <w:pPr>
        <w:pStyle w:val="style4099"/>
        <w:ind w:firstLine="640" w:firstLineChars="200"/>
        <w:rPr>
          <w:rFonts w:ascii="Times New Roman" w:cs="Times New Roman" w:eastAsia="宋体" w:hAnsi="Times New Roman"/>
          <w:sz w:val="32"/>
          <w:szCs w:val="32"/>
        </w:rPr>
      </w:pPr>
      <w:r>
        <w:rPr>
          <w:rFonts w:ascii="Times New Roman" w:cs="Times New Roman" w:eastAsia="宋体" w:hAnsi="Times New Roman"/>
          <w:sz w:val="32"/>
          <w:szCs w:val="32"/>
          <w:lang w:val="en-US"/>
        </w:rPr>
        <w:t>四、</w:t>
      </w:r>
      <w:r>
        <w:rPr>
          <w:rFonts w:ascii="楷体_GB2312" w:cs="楷体_GB2312" w:eastAsia="楷体_GB2312" w:hAnsi="楷体_GB2312" w:hint="default"/>
          <w:b/>
          <w:bCs/>
          <w:i w:val="false"/>
          <w:iCs w:val="false"/>
          <w:color w:val="000000"/>
          <w:kern w:val="2"/>
          <w:sz w:val="32"/>
          <w:szCs w:val="32"/>
          <w:highlight w:val="none"/>
          <w:shd w:val="clear" w:color="ffffff" w:fill="ffffff"/>
          <w:vertAlign w:val="baseline"/>
          <w:em w:val="none"/>
          <w:lang w:val="en-US" w:bidi="ar-SA" w:eastAsia="zh-CN"/>
        </w:rPr>
        <w:t>项目支出。</w:t>
      </w:r>
      <w:r>
        <w:rPr>
          <w:rFonts w:ascii="仿宋_GB2312" w:cs="仿宋_GB2312" w:eastAsia="仿宋_GB2312" w:hAnsi="仿宋_GB2312" w:hint="default"/>
          <w:b w:val="false"/>
          <w:bCs w:val="false"/>
          <w:i w:val="false"/>
          <w:iCs w:val="false"/>
          <w:color w:val="000000"/>
          <w:kern w:val="2"/>
          <w:sz w:val="32"/>
          <w:szCs w:val="32"/>
          <w:highlight w:val="none"/>
          <w:shd w:val="clear" w:color="ffffff" w:fill="ffffff"/>
          <w:vertAlign w:val="baseline"/>
          <w:em w:val="none"/>
          <w:lang w:val="en-US" w:bidi="ar-SA" w:eastAsia="zh-CN"/>
        </w:rPr>
        <w:t>指在基本支出之外为完成特定行政任务和事业发展目标所发生的支出。</w:t>
      </w:r>
    </w:p>
    <w:p w14:paraId="6DCDC819">
      <w:pPr>
        <w:pStyle w:val="style4099"/>
        <w:spacing w:lineRule="exact" w:line="600"/>
        <w:ind w:firstLine="643" w:firstLineChars="200"/>
        <w:rPr>
          <w:rFonts w:ascii="Times New Roman" w:cs="Times New Roman" w:eastAsia="楷体_GB2312" w:hAnsi="Times New Roman"/>
          <w:b/>
          <w:bCs/>
          <w:i/>
          <w:color w:val="auto"/>
          <w:sz w:val="32"/>
          <w:szCs w:val="32"/>
        </w:rPr>
      </w:pPr>
    </w:p>
    <w:p w14:paraId="05B969D1">
      <w:pPr>
        <w:pStyle w:val="style4099"/>
        <w:jc w:val="center"/>
        <w:rPr>
          <w:rFonts w:ascii="Times New Roman" w:cs="Times New Roman" w:hAnsi="Times New Roman"/>
          <w:sz w:val="72"/>
          <w:szCs w:val="72"/>
        </w:rPr>
      </w:pPr>
    </w:p>
    <w:p w14:paraId="FB170436">
      <w:pPr>
        <w:pStyle w:val="style4099"/>
        <w:jc w:val="both"/>
        <w:rPr>
          <w:rFonts w:ascii="Times New Roman" w:cs="Times New Roman" w:hAnsi="Times New Roman"/>
          <w:sz w:val="72"/>
          <w:szCs w:val="72"/>
        </w:rPr>
      </w:pPr>
    </w:p>
    <w:p w14:paraId="B34B2615">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第五部分</w:t>
      </w:r>
      <w:r>
        <w:rPr>
          <w:rFonts w:ascii="Times New Roman" w:cs="Times New Roman" w:eastAsia="方正小标宋_GBK" w:hAnsi="Times New Roman"/>
          <w:sz w:val="52"/>
          <w:szCs w:val="52"/>
        </w:rPr>
        <w:t xml:space="preserve">   </w:t>
      </w:r>
      <w:r>
        <w:rPr>
          <w:rFonts w:ascii="Times New Roman" w:cs="Times New Roman" w:eastAsia="方正小标宋_GBK" w:hAnsi="Times New Roman"/>
          <w:sz w:val="52"/>
          <w:szCs w:val="52"/>
        </w:rPr>
        <w:t>附</w:t>
      </w:r>
      <w:r>
        <w:rPr>
          <w:rFonts w:ascii="Times New Roman" w:cs="Times New Roman" w:eastAsia="方正小标宋_GBK" w:hAnsi="Times New Roman"/>
          <w:sz w:val="52"/>
          <w:szCs w:val="52"/>
        </w:rPr>
        <w:t xml:space="preserve"> </w:t>
      </w:r>
      <w:r>
        <w:rPr>
          <w:rFonts w:ascii="Times New Roman" w:cs="Times New Roman" w:eastAsia="方正小标宋_GBK" w:hAnsi="Times New Roman"/>
          <w:sz w:val="52"/>
          <w:szCs w:val="52"/>
        </w:rPr>
        <w:t>件</w:t>
      </w:r>
    </w:p>
    <w:p w14:paraId="6FAA3CC3">
      <w:pPr>
        <w:pStyle w:val="style0"/>
        <w:rPr>
          <w:rFonts w:ascii="Times New Roman" w:cs="Times New Roman" w:hAnsi="Times New Roman"/>
          <w:sz w:val="72"/>
          <w:szCs w:val="72"/>
        </w:rPr>
      </w:pPr>
    </w:p>
    <w:p w14:paraId="6F458E83">
      <w:pPr>
        <w:pStyle w:val="style4099"/>
        <w:spacing w:lineRule="exact" w:line="600"/>
        <w:ind w:firstLine="643" w:firstLineChars="200"/>
        <w:rPr>
          <w:rFonts w:ascii="Times New Roman" w:cs="Times New Roman" w:eastAsia="仿宋_GB2312" w:hAnsi="Times New Roman"/>
          <w:sz w:val="32"/>
          <w:szCs w:val="32"/>
        </w:rPr>
      </w:pPr>
      <w:r>
        <w:rPr>
          <w:rFonts w:ascii="Times New Roman" w:cs="Times New Roman" w:eastAsia="仿宋_GB2312" w:hAnsi="Times New Roman"/>
          <w:b/>
          <w:bCs/>
          <w:sz w:val="32"/>
          <w:szCs w:val="32"/>
        </w:rPr>
        <w:t>一、</w:t>
      </w:r>
      <w:r>
        <w:rPr>
          <w:rFonts w:ascii="Times New Roman" w:cs="Times New Roman" w:eastAsia="仿宋_GB2312" w:hAnsi="Times New Roman"/>
          <w:sz w:val="32"/>
          <w:szCs w:val="32"/>
        </w:rPr>
        <w:t>2024</w:t>
      </w:r>
      <w:r>
        <w:rPr>
          <w:rFonts w:ascii="Times New Roman" w:cs="Times New Roman" w:eastAsia="仿宋_GB2312" w:hAnsi="Times New Roman"/>
          <w:sz w:val="32"/>
          <w:szCs w:val="32"/>
        </w:rPr>
        <w:t>年度</w:t>
      </w:r>
      <w:r>
        <w:rPr>
          <w:rFonts w:ascii="Times New Roman" w:cs="Times New Roman" w:eastAsia="仿宋_GB2312" w:hAnsi="Times New Roman"/>
          <w:sz w:val="32"/>
          <w:szCs w:val="32"/>
          <w:lang w:val="en-US"/>
        </w:rPr>
        <w:t>部门（单位）</w:t>
      </w:r>
      <w:r>
        <w:rPr>
          <w:rFonts w:ascii="Times New Roman" w:cs="Times New Roman" w:eastAsia="仿宋_GB2312" w:hAnsi="Times New Roman"/>
          <w:sz w:val="32"/>
          <w:szCs w:val="32"/>
        </w:rPr>
        <w:t>整体支出绩效自评报告。</w:t>
      </w:r>
    </w:p>
    <w:p w14:paraId="8B8D51FC">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为进一步规范财政资金管理，牢固树立预算绩效理念，强化支出责任，提高财政资金使用效益，我们根据《蓝山县关于全面推进预算绩效管理的实施意见》，结合我</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单位</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的具体情况，认真组织开展了</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2024年度部门绩效自评工作，现将我</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部门</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2024年度部门整体支出绩效评价情况报告如下：</w:t>
      </w:r>
    </w:p>
    <w:p w14:paraId="B1F088A1">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一、</w:t>
      </w: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单位概况</w:t>
      </w:r>
    </w:p>
    <w:p w14:paraId="7DB0C1A3">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（一）基本情况</w:t>
      </w:r>
    </w:p>
    <w:p w14:paraId="A12D45FC">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（1）主要职能：实施</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幼儿园</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教育，促进基础教育的发展，搞好教育教学工作。</w:t>
      </w:r>
    </w:p>
    <w:p w14:paraId="E5D34C02">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（2）机构情况：</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2024年学生60人,学校班级共</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3</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个。</w:t>
      </w:r>
    </w:p>
    <w:p w14:paraId="C286BDF9">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（3）人员情况：我校现共有教职工</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12</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人，其中在职在编教师8人。</w:t>
      </w:r>
    </w:p>
    <w:p w14:paraId="26C43A11">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（二）当年取得的主要事业成效</w:t>
      </w:r>
    </w:p>
    <w:p w14:paraId="A7F31F9B">
      <w:pPr>
        <w:pStyle w:val="style0"/>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1.思想工作方面</w:t>
      </w:r>
    </w:p>
    <w:p w14:paraId="2BE8942A">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14:paraId="FC778AA0">
      <w:pPr>
        <w:pStyle w:val="style0"/>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2.环境创设方面</w:t>
      </w:r>
    </w:p>
    <w:p w14:paraId="364348A5">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我们根据本园的实际情况，对室内外的装饰、墙壁、调挂等都进行了改装。让孩子们在环创中找到自己感兴趣的话题，并自主学习，从中感受心中乐园的快乐!在环创中老师们从自身做起，遇事相互帮助相互鼓励，让孩子们切实感受到了幼儿园大家庭的温暖和谐，逐步形成活泼开朗的良好性格，从而迈向健全人生的第一步。</w:t>
      </w:r>
    </w:p>
    <w:p w14:paraId="C32926E9">
      <w:pPr>
        <w:pStyle w:val="style0"/>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3.教育方面</w:t>
      </w:r>
    </w:p>
    <w:p w14:paraId="85743B3D">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1）我们从常规入手，从自我做起，做好礼仪示范。微笑面对每一位家长，亲切欢迎每一位小朋友，主动问好，并严格要求自己的言谈举止，为人师表。同时培养孩子们成为讲文明懂礼貌的好孩子。课堂上从生活点滴抓起，形成良好的坐姿习惯，说话先举手，安静倾听他人说话，不随意打断他人说话。我们还利用儿歌游戏来约束小朋友们听从指挥。</w:t>
      </w:r>
    </w:p>
    <w:p w14:paraId="EF8FB742">
      <w:pPr>
        <w:pStyle w:val="style0"/>
        <w:adjustRightInd/>
        <w:snapToGrid/>
        <w:spacing w:lineRule="exact" w:line="600"/>
        <w:ind w:firstLine="640" w:firstLineChars="200"/>
        <w:jc w:val="left"/>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我们认真组织老师们学习了如何制定学期计划、月计划、周计划，如何备课做简易教具，如何评定公开课。我们还深入各班了解老师们的教学状况，认真开展公开课的评课。每次活动后，大家都相互交流心得提出改进意见。我园根据幼儿年龄情况，制定教学计划。</w:t>
      </w:r>
    </w:p>
    <w:p w14:paraId="CA11BFBF">
      <w:pPr>
        <w:pStyle w:val="style0"/>
        <w:adjustRightInd/>
        <w:snapToGrid/>
        <w:spacing w:lineRule="exact" w:line="600"/>
        <w:ind w:firstLine="640" w:firstLineChars="200"/>
        <w:jc w:val="left"/>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（3）我们</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从课堂礼仪入手，学说一句完整的普通话，让他们通过平时习惯的养成，并结合资料的积累，在游戏中通过儿歌、字宝宝的形式来掌握普通话的本领。我们从学习几句通顺的普通话入手，再通过创设生活情景(故事表演)，以日常生活为切入点，在小班的基础上进一步掌握普通话，的本领。</w:t>
      </w:r>
    </w:p>
    <w:p w14:paraId="F85FBFB2">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（4）舞蹈教学方面:我们充分利用课间活动时间，组织老</w:t>
      </w:r>
    </w:p>
    <w:p w14:paraId="E9E9E62E">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师们对幼儿进行舞蹈培训，让孩子们在舞蹈中得到锻炼感受乐趣，同时也陶冶情操，从而吸引更多的小朋友加入舞蹈训练，并喜欢上舞蹈课。</w:t>
      </w:r>
    </w:p>
    <w:p w14:paraId="4237B847">
      <w:pPr>
        <w:pStyle w:val="style0"/>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4.保教方面</w:t>
      </w:r>
    </w:p>
    <w:p w14:paraId="9EC996C7">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我们合理安排和组织幼儿的一日活动，动静结合室内外结合，每天保持2小时的户外活动时间和游戏时间，来提高幼儿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14:paraId="A6E85E05">
      <w:pPr>
        <w:pStyle w:val="style0"/>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5.安全方面</w:t>
      </w:r>
    </w:p>
    <w:p w14:paraId="57D89F43">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我们时刻牢记:眼中有孩子，心中有安全，处处有教育。我们还利用安全教育碟片来辅助教学，增强幼儿的安全意识，时刻防范一切不安全的因素发生。我们重点做好早接晚送的门前管理，以免小朋友因意外而走失。再就是早接晚送的门前管理，以免小朋友因意外而走失。再就是课间、午间、游戏时、入厕洗手时、室内追逐时、进餐前后、午睡、起床、户外活动等几个关键时间段的防范，及时发现问题，及时整改。</w:t>
      </w:r>
    </w:p>
    <w:p w14:paraId="351337FB">
      <w:pPr>
        <w:pStyle w:val="style0"/>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6.家长方面</w:t>
      </w:r>
    </w:p>
    <w:p w14:paraId="D5FC52C9">
      <w:pPr>
        <w:pStyle w:val="style0"/>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14:paraId="0A43C451">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二、整体支出管理及使用情况</w:t>
      </w:r>
    </w:p>
    <w:p w14:paraId="F74F02D8">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（一）基本支出管理情况</w:t>
      </w:r>
    </w:p>
    <w:p w14:paraId="E83B25D5">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1、根据</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上级</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文件批复</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2024年我</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部门</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预算支出40.4万元，其中：工资福利支出22.42万元，商品和服务支出6.84万元，对个人和家庭的补助支出</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万元，“三公”经费支出控制数</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0.2</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万元，其中：公务接待费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0.2</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万元，公务用车经费（公车运行维护费）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w:t>
      </w:r>
    </w:p>
    <w:p w14:paraId="CCB6088B">
      <w:pPr>
        <w:pStyle w:val="style0"/>
        <w:shd w:val="clear" w:color="ffffff" w:fill="ffffff"/>
        <w:adjustRightInd/>
        <w:snapToGrid/>
        <w:spacing w:lineRule="exact" w:line="600"/>
        <w:ind w:left="319" w:leftChars="152"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2、基本支出</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决算</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执行情况：</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2024年我</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部门决算</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支出40.4万元，其中：工资福利支出22.42万元，商品和服务支出6.84万元，对个人和家庭的补助支出</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万元，“三公”经费支出控制数</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万元，其中：公务接待费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万元，公务用车经费（公车运行维护费）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w:t>
      </w:r>
    </w:p>
    <w:p w14:paraId="B88FC591">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（二）“三公经费”支出和使用情况</w:t>
      </w:r>
    </w:p>
    <w:p w14:paraId="EF4D607D">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1、2024年“三公经费”预算数</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0.2</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其中：</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公务接待费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公务用车运行费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0万元，公务用车购置费0万元，</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因公出国（境）费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0万元。</w:t>
      </w:r>
    </w:p>
    <w:p w14:paraId="B9B6DC2C">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2024年“三公经费”执行情况：</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2024年“三公经费”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决</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算数</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，其中：</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其中：</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公务接待费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万元，</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公务用车运行费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0万元，公务用车购置费0万元，</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因公出国（境）费</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0万元。</w:t>
      </w:r>
    </w:p>
    <w:p w14:paraId="13502067">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3、</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2024年我</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部门</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严格控制“三公经费”支出，比上年度“三公”经费支出持平，无“三公”经费开支。</w:t>
      </w:r>
    </w:p>
    <w:p w14:paraId="3DEF2613">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（三）项目支出管理和使用情况</w:t>
      </w:r>
    </w:p>
    <w:p w14:paraId="725E19EA">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2024年我</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部门项目绩效目标为0万元，</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实际执行0万元。</w:t>
      </w:r>
    </w:p>
    <w:p w14:paraId="9FB29B01">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三、绩效评价工作组织实施情况</w:t>
      </w:r>
    </w:p>
    <w:p w14:paraId="077A5B0D">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D78EB7AC">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四、整体支出绩效情况</w:t>
      </w:r>
    </w:p>
    <w:p w14:paraId="47D8289A">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从整体情况来看，根据对我单位</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2024年部门整体支出项目绩效评价指标体系和绩效情况的检查，</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2024年我单位部门整体绩效自评分</w:t>
      </w: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98分，为“优”等级。</w:t>
      </w:r>
    </w:p>
    <w:p w14:paraId="629E802E">
      <w:pPr>
        <w:pStyle w:val="style0"/>
        <w:shd w:val="clear" w:color="ffffff" w:fill="ffffff"/>
        <w:adjustRightInd/>
        <w:snapToGrid/>
        <w:spacing w:lineRule="exact" w:line="600"/>
        <w:ind w:firstLine="640" w:firstLineChars="200"/>
        <w:jc w:val="both"/>
        <w:rPr/>
      </w:pPr>
      <w:r>
        <w:rPr>
          <w:rFonts w:ascii="仿宋_GB2312" w:cs="仿宋_GB2312" w:eastAsia="仿宋_GB2312" w:hAnsi="仿宋_GB2312" w:hint="default"/>
          <w:b/>
          <w:bCs/>
          <w:i w:val="false"/>
          <w:iCs w:val="false"/>
          <w:color w:val="auto"/>
          <w:kern w:val="2"/>
          <w:sz w:val="32"/>
          <w:szCs w:val="32"/>
          <w:highlight w:val="none"/>
          <w:vertAlign w:val="baseline"/>
          <w:em w:val="none"/>
          <w:lang w:val="en-US" w:bidi="ar-SA" w:eastAsia="zh-CN"/>
        </w:rPr>
        <w:t>五、存在的主要问题</w:t>
      </w:r>
    </w:p>
    <w:p w14:paraId="D14244C3">
      <w:pPr>
        <w:pStyle w:val="style0"/>
        <w:shd w:val="clear" w:color="ffffff" w:fill="ffffff"/>
        <w:adjustRightInd/>
        <w:snapToGrid/>
        <w:spacing w:lineRule="exact" w:line="600"/>
        <w:ind w:firstLine="640" w:firstLineChars="200"/>
        <w:jc w:val="both"/>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1.部分资金支付进度滞后。</w:t>
      </w:r>
    </w:p>
    <w:p w14:paraId="1845145A">
      <w:pPr>
        <w:pStyle w:val="style0"/>
        <w:shd w:val="clear" w:color="ffffff" w:fill="ffffff"/>
        <w:adjustRightInd/>
        <w:snapToGrid/>
        <w:spacing w:lineRule="exact" w:line="600"/>
        <w:ind w:firstLine="640" w:firstLineChars="200"/>
        <w:jc w:val="both"/>
        <w:rPr>
          <w:rFonts w:ascii="Times New Roman" w:cs="Times New Roman" w:eastAsia="仿宋_GB2312" w:hAnsi="Times New Roman"/>
          <w:sz w:val="32"/>
          <w:szCs w:val="32"/>
        </w:rPr>
      </w:pPr>
      <w:r>
        <w:rPr>
          <w:rFonts w:ascii="仿宋_GB2312" w:cs="仿宋_GB2312" w:eastAsia="仿宋_GB2312" w:hAnsi="仿宋_GB2312" w:hint="default"/>
          <w:b w:val="false"/>
          <w:bCs w:val="false"/>
          <w:i w:val="false"/>
          <w:iCs w:val="false"/>
          <w:color w:val="auto"/>
          <w:kern w:val="2"/>
          <w:sz w:val="32"/>
          <w:szCs w:val="32"/>
          <w:highlight w:val="none"/>
          <w:vertAlign w:val="baseline"/>
          <w:em w:val="none"/>
          <w:lang w:val="en-US" w:bidi="ar-SA" w:eastAsia="zh-CN"/>
        </w:rPr>
        <w:t>2.内部控制进一步完善。</w:t>
      </w:r>
    </w:p>
    <w:p w14:paraId="3CBBA828">
      <w:pPr>
        <w:pStyle w:val="style4099"/>
        <w:spacing w:lineRule="exact" w:line="600"/>
        <w:ind w:firstLine="640" w:firstLineChars="200"/>
        <w:rPr>
          <w:rFonts w:ascii="Times New Roman" w:cs="Times New Roman" w:eastAsia="仿宋_GB2312" w:hAnsi="Times New Roman"/>
          <w:sz w:val="32"/>
          <w:szCs w:val="32"/>
        </w:rPr>
      </w:pPr>
    </w:p>
    <w:p w14:paraId="F9AB082D">
      <w:pPr>
        <w:pStyle w:val="style4099"/>
        <w:jc w:val="center"/>
        <w:rPr>
          <w:rFonts w:ascii="Times New Roman" w:cs="Times New Roman" w:hAnsi="Times New Roman"/>
          <w:sz w:val="72"/>
          <w:szCs w:val="72"/>
        </w:rPr>
      </w:pPr>
    </w:p>
    <w:p w14:paraId="57884F8D">
      <w:pPr>
        <w:pStyle w:val="style0"/>
        <w:jc w:val="left"/>
        <w:rPr>
          <w:rFonts w:ascii="Times New Roman" w:cs="Times New Roman" w:hAnsi="Times New Roman"/>
          <w:color w:val="000000"/>
          <w:kern w:val="0"/>
          <w:sz w:val="32"/>
          <w:szCs w:val="32"/>
        </w:rPr>
      </w:pPr>
    </w:p>
    <w:sectPr>
      <w:pgSz w:w="11906" w:h="16838" w:orient="portrait"/>
      <w:pgMar w:top="1417" w:right="1588" w:bottom="1417" w:left="158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00002FF" w:usb1="4000ACFF" w:usb2="00000001" w:usb3="00000000" w:csb0="0000019F" w:csb1="00000000"/>
  </w:font>
  <w:font w:name="黑体">
    <w:altName w:val="SimHei"/>
    <w:panose1 w:val="02010609060000010101"/>
    <w:charset w:val="86"/>
    <w:family w:val="auto"/>
    <w:pitch w:val="variable"/>
    <w:sig w:usb0="800002BF" w:usb1="38CF7CFA" w:usb2="00000016" w:usb3="00000000" w:csb0="00040001" w:csb1="00000000"/>
  </w:font>
  <w:font w:name="方正小标宋简体">
    <w:altName w:val="方正小标宋简体"/>
    <w:panose1 w:val="02010601030000010101"/>
    <w:charset w:val="86"/>
    <w:family w:val="auto"/>
    <w:pitch w:val="variable"/>
    <w:sig w:usb0="00000001" w:usb1="080E0000" w:usb2="00000010" w:usb3="00000000" w:csb0="00040000" w:csb1="00000000"/>
  </w:font>
  <w:font w:name="方正小标宋_GBK">
    <w:altName w:val="Arial Unicode MS"/>
    <w:panose1 w:val="00000000000000000000"/>
    <w:charset w:val="86"/>
    <w:family w:val="script"/>
    <w:pitch w:val="default"/>
    <w:sig w:usb0="00000000" w:usb1="08000000" w:usb2="00000000" w:usb3="00000000" w:csb0="00040000" w:csb1="00000000"/>
  </w:font>
  <w:font w:name="仿宋_GB2312">
    <w:altName w:val="仿宋_GB2312"/>
    <w:panose1 w:val="02010609030000010101"/>
    <w:charset w:val="86"/>
    <w:family w:val="modern"/>
    <w:pitch w:val="fixed"/>
    <w:sig w:usb0="00000001" w:usb1="080E0000" w:usb2="00000010" w:usb3="00000000" w:csb0="00040000" w:csb1="00000000"/>
  </w:font>
  <w:font w:name="华文中宋">
    <w:altName w:val="华文中宋"/>
    <w:panose1 w:val="02010600040000010101"/>
    <w:charset w:val="86"/>
    <w:family w:val="auto"/>
    <w:pitch w:val="variable"/>
    <w:sig w:usb0="00000287" w:usb1="080F0000" w:usb2="00000010" w:usb3="00000000" w:csb0="0004009F" w:csb1="00000000"/>
  </w:font>
  <w:font w:name="楷体_GB2312">
    <w:altName w:val="楷体_GB2312"/>
    <w:panose1 w:val="02010609030000010101"/>
    <w:charset w:val="86"/>
    <w:family w:val="modern"/>
    <w:pitch w:val="fixed"/>
    <w:sig w:usb0="00000001" w:usb1="080E0000" w:usb2="00000010" w:usb3="00000000" w:csb0="00040000" w:csb1="00000000"/>
  </w:font>
  <w:font w:name="楷体">
    <w:altName w:val="楷体"/>
    <w:panose1 w:val="02010609060000010101"/>
    <w:charset w:val="86"/>
    <w:family w:val="modern"/>
    <w:pitch w:val="fixed"/>
    <w:sig w:usb0="800002BF" w:usb1="38CF7CFA"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仿宋">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815836E">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E12E8C84">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E05EB096">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1A4D3D1">
    <w:pPr>
      <w:pStyle w:val="style32"/>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300C5E0A">
                          <w:pPr>
                            <w:pStyle w:val="style32"/>
                            <w:rPr/>
                          </w:pPr>
                          <w:r>
                            <w:rPr/>
                            <w:fldChar w:fldCharType="begin"/>
                          </w:r>
                          <w:r>
                            <w:instrText xml:space="preserve"> PAGE  \* MERGEFORMAT </w:instrText>
                          </w:r>
                          <w:r>
                            <w:rPr/>
                            <w:fldChar w:fldCharType="separate"/>
                          </w:r>
                          <w:r>
                            <w:rPr>
                              <w:noProof/>
                            </w:rPr>
                            <w:t>20</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300C5E0A">
                    <w:pPr>
                      <w:pStyle w:val="style32"/>
                      <w:rPr/>
                    </w:pPr>
                    <w:r>
                      <w:rPr/>
                      <w:fldChar w:fldCharType="begin"/>
                    </w:r>
                    <w:r>
                      <w:instrText xml:space="preserve"> PAGE  \* MERGEFORMAT </w:instrText>
                    </w:r>
                    <w:r>
                      <w:rPr/>
                      <w:fldChar w:fldCharType="separate"/>
                    </w:r>
                    <w:r>
                      <w:rPr>
                        <w:noProof/>
                      </w:rPr>
                      <w:t>20</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29"/>
    <w:qFormat/>
    <w:pPr>
      <w:widowControl w:val="false"/>
      <w:jc w:val="both"/>
    </w:pPr>
    <w:rPr>
      <w:rFonts w:ascii="Calibri" w:cs="宋体" w:eastAsia="宋体" w:hAnsi="Calibri"/>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78"/>
    <w:qFormat/>
    <w:pPr>
      <w:snapToGrid w:val="false"/>
      <w:jc w:val="left"/>
    </w:pPr>
    <w:rPr>
      <w:sz w:val="18"/>
      <w:szCs w:val="18"/>
    </w:rPr>
  </w:style>
  <w:style w:type="paragraph" w:styleId="style78">
    <w:name w:val="Body Text First Indent 2"/>
    <w:basedOn w:val="style67"/>
    <w:next w:val="style0"/>
    <w:qFormat/>
    <w:uiPriority w:val="99"/>
    <w:pPr>
      <w:ind w:firstLine="420" w:firstLineChars="200"/>
    </w:pPr>
    <w:rPr/>
  </w:style>
  <w:style w:type="paragraph" w:styleId="style67">
    <w:name w:val="Body Text Indent"/>
    <w:basedOn w:val="style0"/>
    <w:next w:val="style78"/>
    <w:qFormat/>
    <w:uiPriority w:val="99"/>
    <w:pPr>
      <w:widowControl/>
      <w:spacing w:after="120"/>
      <w:ind w:left="420" w:leftChars="200"/>
      <w:jc w:val="left"/>
    </w:pPr>
    <w:rPr>
      <w:rFonts w:ascii="宋体" w:cs="宋体" w:eastAsia="宋体" w:hAnsi="宋体"/>
      <w:kern w:val="0"/>
      <w:sz w:val="24"/>
    </w:rPr>
  </w:style>
  <w:style w:type="paragraph" w:styleId="style153">
    <w:name w:val="Balloon Text"/>
    <w:basedOn w:val="style0"/>
    <w:next w:val="style153"/>
    <w:link w:val="style4100"/>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paragraph" w:customStyle="1" w:styleId="style4099">
    <w:name w:val="Default"/>
    <w:next w:val="style4099"/>
    <w:qFormat/>
    <w:pPr>
      <w:widowControl w:val="false"/>
      <w:autoSpaceDE w:val="false"/>
      <w:autoSpaceDN w:val="false"/>
      <w:adjustRightInd w:val="false"/>
    </w:pPr>
    <w:rPr>
      <w:rFonts w:ascii="黑体" w:cs="黑体" w:eastAsia="黑体" w:hAnsi="Calibri"/>
      <w:color w:val="000000"/>
      <w:sz w:val="24"/>
      <w:szCs w:val="24"/>
    </w:rPr>
  </w:style>
  <w:style w:type="paragraph" w:styleId="style179">
    <w:name w:val="List Paragraph"/>
    <w:basedOn w:val="style0"/>
    <w:next w:val="style179"/>
    <w:qFormat/>
    <w:uiPriority w:val="34"/>
    <w:pPr>
      <w:ind w:firstLine="420" w:firstLineChars="200"/>
    </w:pPr>
    <w:rPr/>
  </w:style>
  <w:style w:type="character" w:customStyle="1" w:styleId="style4100">
    <w:name w:val="批注框文本 Char"/>
    <w:basedOn w:val="style65"/>
    <w:next w:val="style4100"/>
    <w:link w:val="style153"/>
    <w:qFormat/>
    <w:uiPriority w:val="99"/>
    <w:rPr>
      <w:sz w:val="18"/>
      <w:szCs w:val="18"/>
    </w:rPr>
  </w:style>
  <w:style w:type="character" w:customStyle="1" w:styleId="style4101">
    <w:name w:val="font01"/>
    <w:basedOn w:val="style65"/>
    <w:next w:val="style4101"/>
    <w:qFormat/>
    <w:rPr>
      <w:rFonts w:ascii="宋体" w:cs="宋体" w:eastAsia="宋体" w:hAnsi="宋体" w:hint="eastAsia"/>
      <w:color w:val="000000"/>
      <w:sz w:val="22"/>
      <w:szCs w:val="22"/>
      <w:u w:val="none"/>
    </w:rPr>
  </w:style>
  <w:style w:type="character" w:customStyle="1" w:styleId="style4102">
    <w:name w:val="font21"/>
    <w:basedOn w:val="style65"/>
    <w:next w:val="style4102"/>
    <w:qFormat/>
    <w:rPr>
      <w:rFonts w:ascii="宋体" w:cs="宋体" w:eastAsia="宋体" w:hAnsi="宋体" w:hint="eastAsia"/>
      <w:color w:val="000000"/>
      <w:sz w:val="24"/>
      <w:szCs w:val="24"/>
      <w:u w:val="none"/>
    </w:rPr>
  </w:style>
  <w:style w:type="character" w:customStyle="1" w:styleId="style4103">
    <w:name w:val="font11"/>
    <w:basedOn w:val="style65"/>
    <w:next w:val="style4103"/>
    <w:qFormat/>
    <w:rPr>
      <w:rFonts w:ascii="宋体" w:cs="宋体" w:eastAsia="宋体" w:hAnsi="宋体" w:hint="eastAsia"/>
      <w:color w:val="000000"/>
      <w:sz w:val="24"/>
      <w:szCs w:val="24"/>
      <w:u w:val="none"/>
    </w:rPr>
  </w:style>
  <w:style w:type="character" w:styleId="style41">
    <w:name w:val="page number"/>
    <w:basedOn w:val="style65"/>
    <w:next w:val="style41"/>
    <w:rPr>
      <w:rFonts w:ascii="Times New Roman" w:cs="Times New Roman" w:eastAsia="宋体" w:hAnsi="Times New Roman"/>
      <w:sz w:val="21"/>
    </w:rPr>
  </w:style>
  <w:style w:type="paragraph" w:styleId="style94">
    <w:name w:val="Normal (Web)"/>
    <w:basedOn w:val="style0"/>
    <w:next w:val="style4094"/>
    <w:qFormat/>
    <w:pPr>
      <w:widowControl w:val="false"/>
      <w:spacing w:before="0" w:beforeAutospacing="true" w:after="0" w:afterAutospacing="true"/>
      <w:ind w:left="0" w:right="0"/>
      <w:jc w:val="both"/>
    </w:pPr>
    <w:rPr>
      <w:rFonts w:ascii="Calibri" w:cs="宋体" w:eastAsia="宋体" w:hAnsi="Calibri"/>
      <w:kern w:val="2"/>
      <w:sz w:val="24"/>
      <w:szCs w:val="22"/>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8019</Words>
  <Pages>25</Pages>
  <Characters>8977</Characters>
  <Application>WPS Office</Application>
  <DocSecurity>0</DocSecurity>
  <Paragraphs>1321</Paragraphs>
  <ScaleCrop>false</ScaleCrop>
  <Company>Microsoft</Company>
  <LinksUpToDate>false</LinksUpToDate>
  <CharactersWithSpaces>10296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2025-08-18T10:17:00Z</dcterms:created>
  <dc:creator>李航 null</dc:creator>
  <lastModifiedBy>BTK-W00</lastModifiedBy>
  <lastPrinted>2024-08-08T18:20:00Z</lastPrinted>
  <dcterms:modified xsi:type="dcterms:W3CDTF">2025-08-26T09:21:36Z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ce742f7502324fcdb9083de192b95df0_23</vt:lpwstr>
  </property>
</Properties>
</file>