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both"/>
        <w:rPr>
          <w:rFonts w:hAnsi="黑体"/>
          <w:sz w:val="36"/>
          <w:szCs w:val="36"/>
        </w:rPr>
      </w:pPr>
      <w:r>
        <w:rPr>
          <w:rFonts w:hint="eastAsia" w:hAnsi="黑体"/>
          <w:sz w:val="36"/>
          <w:szCs w:val="36"/>
        </w:rPr>
        <w:t>附件1</w:t>
      </w:r>
    </w:p>
    <w:p>
      <w:pPr>
        <w:pStyle w:val="15"/>
        <w:jc w:val="center"/>
        <w:rPr>
          <w:rFonts w:ascii="Times New Roman" w:hAnsi="Times New Roman" w:cs="Times New Roman"/>
          <w:sz w:val="56"/>
          <w:szCs w:val="56"/>
        </w:rPr>
      </w:pPr>
    </w:p>
    <w:p>
      <w:pPr>
        <w:pStyle w:val="15"/>
        <w:jc w:val="center"/>
        <w:rPr>
          <w:rFonts w:ascii="Times New Roman" w:hAnsi="Times New Roman" w:cs="Times New Roman"/>
          <w:sz w:val="84"/>
          <w:szCs w:val="84"/>
        </w:rPr>
      </w:pPr>
    </w:p>
    <w:p>
      <w:pPr>
        <w:pStyle w:val="15"/>
        <w:jc w:val="center"/>
        <w:rPr>
          <w:rFonts w:ascii="Times New Roman" w:hAnsi="Times New Roman" w:cs="Times New Roman"/>
          <w:sz w:val="84"/>
          <w:szCs w:val="84"/>
        </w:rPr>
      </w:pPr>
    </w:p>
    <w:p>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5"/>
        <w:jc w:val="center"/>
        <w:rPr>
          <w:rFonts w:ascii="Times New Roman" w:hAnsi="Times New Roman" w:eastAsia="方正小标宋_GBK" w:cs="Times New Roman"/>
          <w:sz w:val="56"/>
          <w:szCs w:val="56"/>
        </w:rPr>
      </w:pPr>
      <w:r>
        <w:rPr>
          <w:rFonts w:hint="eastAsia" w:ascii="Times New Roman" w:hAnsi="Times New Roman" w:eastAsia="方正小标宋简体" w:cs="Times New Roman"/>
          <w:sz w:val="72"/>
          <w:szCs w:val="72"/>
        </w:rPr>
        <w:t>蓝山县教育局部门决算</w:t>
      </w:r>
    </w:p>
    <w:p>
      <w:pPr>
        <w:pStyle w:val="15"/>
        <w:jc w:val="center"/>
        <w:rPr>
          <w:rFonts w:ascii="Times New Roman" w:hAnsi="Times New Roman" w:cs="Times New Roman"/>
          <w:sz w:val="56"/>
          <w:szCs w:val="56"/>
        </w:rPr>
      </w:pPr>
    </w:p>
    <w:p>
      <w:pPr>
        <w:pStyle w:val="15"/>
        <w:rPr>
          <w:rFonts w:ascii="Times New Roman" w:hAnsi="Times New Roman" w:cs="Times New Roman"/>
          <w:sz w:val="56"/>
          <w:szCs w:val="56"/>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spacing w:line="540" w:lineRule="exact"/>
        <w:jc w:val="center"/>
        <w:rPr>
          <w:rFonts w:ascii="Times New Roman" w:hAnsi="Times New Roman" w:cs="Times New Roman"/>
          <w:sz w:val="56"/>
          <w:szCs w:val="56"/>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5"/>
        <w:spacing w:line="600" w:lineRule="exact"/>
        <w:jc w:val="both"/>
        <w:rPr>
          <w:rFonts w:ascii="Times New Roman" w:hAnsi="Times New Roman" w:cs="Times New Roman"/>
          <w:b/>
          <w:sz w:val="36"/>
          <w:szCs w:val="28"/>
        </w:rPr>
      </w:pPr>
    </w:p>
    <w:p>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5"/>
        <w:spacing w:line="600" w:lineRule="exact"/>
        <w:jc w:val="center"/>
        <w:rPr>
          <w:rFonts w:ascii="Times New Roman" w:hAnsi="Times New Roman" w:cs="Times New Roman"/>
          <w:b/>
          <w:sz w:val="36"/>
          <w:szCs w:val="28"/>
        </w:rPr>
      </w:pPr>
    </w:p>
    <w:p>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黑体" w:hAnsi="黑体" w:eastAsia="黑体" w:cs="黑体"/>
          <w:b/>
          <w:bCs/>
          <w:kern w:val="0"/>
          <w:sz w:val="32"/>
          <w:szCs w:val="32"/>
        </w:rPr>
        <w:t>教育局</w:t>
      </w:r>
      <w:r>
        <w:rPr>
          <w:rFonts w:ascii="Times New Roman" w:hAnsi="Times New Roman" w:cs="Times New Roman"/>
          <w:bCs/>
          <w:sz w:val="32"/>
          <w:szCs w:val="32"/>
        </w:rPr>
        <w:t>部门（单位）概况</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5"/>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8"/>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lang w:eastAsia="zh-CN"/>
        </w:rPr>
        <w:t>教育局</w:t>
      </w:r>
      <w:r>
        <w:rPr>
          <w:rFonts w:hint="eastAsia" w:ascii="黑体" w:hAnsi="黑体" w:eastAsia="黑体" w:cs="黑体"/>
          <w:b/>
          <w:bCs w:val="0"/>
          <w:kern w:val="0"/>
          <w:sz w:val="44"/>
          <w:szCs w:val="44"/>
        </w:rPr>
        <w:t>部门概况</w:t>
      </w:r>
    </w:p>
    <w:p>
      <w:pPr>
        <w:pStyle w:val="16"/>
        <w:ind w:firstLine="0" w:firstLineChars="0"/>
        <w:jc w:val="left"/>
        <w:rPr>
          <w:rFonts w:ascii="黑体" w:hAnsi="黑体" w:eastAsia="黑体"/>
          <w:sz w:val="32"/>
          <w:szCs w:val="32"/>
        </w:rPr>
      </w:pPr>
    </w:p>
    <w:p>
      <w:pPr>
        <w:widowControl/>
        <w:spacing w:line="600" w:lineRule="exact"/>
        <w:ind w:firstLine="640" w:firstLineChars="200"/>
        <w:outlineLvl w:val="1"/>
        <w:rPr>
          <w:rFonts w:hint="eastAsia" w:ascii="黑体" w:hAnsi="黑体" w:eastAsia="黑体"/>
          <w:b w:val="0"/>
          <w:bCs/>
          <w:kern w:val="0"/>
          <w:sz w:val="32"/>
          <w:szCs w:val="32"/>
          <w:lang w:val="en-US" w:eastAsia="zh-CN"/>
        </w:rPr>
      </w:pPr>
      <w:r>
        <w:rPr>
          <w:rFonts w:hint="eastAsia" w:ascii="黑体" w:hAnsi="黑体" w:eastAsia="黑体"/>
          <w:b w:val="0"/>
          <w:bCs/>
          <w:kern w:val="0"/>
          <w:sz w:val="32"/>
          <w:szCs w:val="32"/>
        </w:rPr>
        <w:t>一、部门</w:t>
      </w:r>
      <w:r>
        <w:rPr>
          <w:rFonts w:hint="eastAsia" w:ascii="黑体" w:hAnsi="黑体" w:eastAsia="黑体" w:cs="Times New Roman"/>
          <w:b w:val="0"/>
          <w:bCs/>
          <w:kern w:val="0"/>
          <w:sz w:val="32"/>
          <w:szCs w:val="32"/>
        </w:rPr>
        <w:t>职能</w:t>
      </w:r>
      <w:r>
        <w:rPr>
          <w:rFonts w:hint="eastAsia" w:ascii="黑体" w:hAnsi="黑体" w:eastAsia="黑体" w:cs="Times New Roman"/>
          <w:b w:val="0"/>
          <w:bCs/>
          <w:kern w:val="0"/>
          <w:sz w:val="32"/>
          <w:szCs w:val="32"/>
          <w:lang w:val="en-US" w:eastAsia="zh-CN"/>
        </w:rPr>
        <w:t>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（一）贯彻落实国家和省、市关于教育工作的法律、法规和政策，拟订全县教育改革与发展战略和规划，并组织实施。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（二）负责各级各类教育的统筹规划和协调管理，组织实施各级各类学校设置标准，指导各级各类学校教育教学改革，负责教育基本信息的统计、分析和发布。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（三）负责推进义务教育均衡发展和促进教育公平，负责义务教育的宏观指导与协调；指导普通高中教育、幼儿教育和特殊教育工作。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（四）指导以就业为导向的职业教育的发展与改革，执行教学指导文件和教学评估标准，指导中等职业教育教材建设和职业指导工作。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（五）组织实施全县普通高等教育考试、成人高等教育考试、高等教育自学考试。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统筹管理本部门教育经费；参与拟订全县教育经费筹措、教育拨款、教育基建投资办法与措施；负责统计和监测全县教育经费的投入和使用情况；指导、管理全县资助经济困难学生工作；指导和组织实施教育系统内部审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（七）统筹指导少数民族教育工作。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（八）指导全县中、小学校的思想政治工作、德育工作、体育卫生与艺术教育以及国防教育工作，指导和协调教育系统的信访维稳工作。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（九）依据《教师法》规定，在职责范围内，主管全县教师工作；贯彻实施各级各类教师资格标准。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（十）指导、组织实施教育系统人才队伍建设。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（十一）参与拟订中职学校毕业生就业措施，指导中职学校开展学生就业创业工作。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（十二）组织全县教育督导工作。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（十三）承办县人民政府交办的其他事项。</w:t>
      </w:r>
    </w:p>
    <w:p>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710" w:firstLineChars="221"/>
        <w:rPr>
          <w:rFonts w:hint="eastAsia" w:ascii="楷体_GB2312" w:hAnsi="宋体" w:eastAsia="楷体_GB2312"/>
          <w:b/>
          <w:bCs/>
          <w:kern w:val="0"/>
          <w:sz w:val="32"/>
          <w:szCs w:val="32"/>
        </w:rPr>
      </w:pPr>
      <w:r>
        <w:rPr>
          <w:rFonts w:hint="eastAsia" w:ascii="楷体_GB2312" w:hAnsi="宋体" w:eastAsia="楷体_GB2312"/>
          <w:b/>
          <w:bCs/>
          <w:kern w:val="0"/>
          <w:sz w:val="32"/>
          <w:szCs w:val="32"/>
        </w:rPr>
        <w:t>（一）内设机构设置。</w:t>
      </w:r>
    </w:p>
    <w:p>
      <w:pPr>
        <w:widowControl/>
        <w:spacing w:line="600" w:lineRule="exact"/>
        <w:ind w:firstLine="707" w:firstLineChars="221"/>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1、机构情况：蓝山县教育局内设机构5个，分别是办公室、基础教育股、计审股、人事股、政策法制股。</w:t>
      </w:r>
    </w:p>
    <w:p>
      <w:pPr>
        <w:widowControl/>
        <w:spacing w:line="600" w:lineRule="exact"/>
        <w:ind w:firstLine="707" w:firstLineChars="221"/>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2、人员情况：蓝山县教育局现有公务员1</w:t>
      </w:r>
      <w:r>
        <w:rPr>
          <w:rFonts w:hint="eastAsia" w:ascii="Times New Roman" w:hAnsi="Times New Roman" w:eastAsia="仿宋_GB2312" w:cs="Times New Roman"/>
          <w:bCs/>
          <w:kern w:val="0"/>
          <w:sz w:val="32"/>
          <w:szCs w:val="32"/>
          <w:lang w:val="en-US" w:eastAsia="zh-CN"/>
        </w:rPr>
        <w:t>2</w:t>
      </w:r>
      <w:r>
        <w:rPr>
          <w:rFonts w:hint="default" w:ascii="Times New Roman" w:hAnsi="Times New Roman" w:eastAsia="仿宋_GB2312" w:cs="Times New Roman"/>
          <w:bCs/>
          <w:kern w:val="0"/>
          <w:sz w:val="32"/>
          <w:szCs w:val="32"/>
        </w:rPr>
        <w:t>人，机关工人2人，事业工人1人，专业技术人员3</w:t>
      </w:r>
      <w:r>
        <w:rPr>
          <w:rFonts w:hint="eastAsia" w:ascii="Times New Roman" w:hAnsi="Times New Roman" w:eastAsia="仿宋_GB2312" w:cs="Times New Roman"/>
          <w:bCs/>
          <w:kern w:val="0"/>
          <w:sz w:val="32"/>
          <w:szCs w:val="32"/>
          <w:lang w:val="en-US" w:eastAsia="zh-CN"/>
        </w:rPr>
        <w:t>2</w:t>
      </w:r>
      <w:r>
        <w:rPr>
          <w:rFonts w:hint="default" w:ascii="Times New Roman" w:hAnsi="Times New Roman" w:eastAsia="仿宋_GB2312" w:cs="Times New Roman"/>
          <w:bCs/>
          <w:kern w:val="0"/>
          <w:sz w:val="32"/>
          <w:szCs w:val="32"/>
        </w:rPr>
        <w:t>人，共</w:t>
      </w:r>
      <w:r>
        <w:rPr>
          <w:rFonts w:hint="eastAsia" w:ascii="Times New Roman" w:hAnsi="Times New Roman" w:eastAsia="仿宋_GB2312" w:cs="Times New Roman"/>
          <w:bCs/>
          <w:kern w:val="0"/>
          <w:sz w:val="32"/>
          <w:szCs w:val="32"/>
          <w:lang w:val="en-US" w:eastAsia="zh-CN"/>
        </w:rPr>
        <w:t>47</w:t>
      </w:r>
      <w:r>
        <w:rPr>
          <w:rFonts w:hint="default" w:ascii="Times New Roman" w:hAnsi="Times New Roman" w:eastAsia="仿宋_GB2312" w:cs="Times New Roman"/>
          <w:bCs/>
          <w:kern w:val="0"/>
          <w:sz w:val="32"/>
          <w:szCs w:val="32"/>
        </w:rPr>
        <w:t>人。</w:t>
      </w:r>
    </w:p>
    <w:p>
      <w:pPr>
        <w:pStyle w:val="8"/>
        <w:rPr>
          <w:rFonts w:ascii="Times New Roman" w:hAnsi="Times New Roman" w:eastAsia="黑体" w:cs="Times New Roman"/>
          <w:sz w:val="28"/>
          <w:szCs w:val="28"/>
        </w:rPr>
      </w:pPr>
      <w:r>
        <w:rPr>
          <w:rFonts w:hint="eastAsia" w:ascii="楷体_GB2312" w:hAnsi="宋体" w:eastAsia="楷体_GB2312"/>
          <w:b/>
          <w:bCs/>
          <w:kern w:val="0"/>
          <w:sz w:val="32"/>
          <w:szCs w:val="32"/>
        </w:rPr>
        <w:t>（二）决算单位构成。</w:t>
      </w:r>
      <w:r>
        <w:rPr>
          <w:rFonts w:hint="default" w:ascii="Times New Roman" w:hAnsi="Times New Roman" w:eastAsia="仿宋_GB2312" w:cs="Times New Roman"/>
          <w:bCs/>
          <w:kern w:val="0"/>
          <w:sz w:val="32"/>
          <w:szCs w:val="32"/>
        </w:rPr>
        <w:t>蓝山县教育局</w:t>
      </w:r>
      <w:r>
        <w:rPr>
          <w:rFonts w:eastAsia="仿宋_GB2312"/>
          <w:bCs/>
          <w:kern w:val="0"/>
          <w:sz w:val="32"/>
          <w:szCs w:val="32"/>
        </w:rPr>
        <w:t>20</w:t>
      </w:r>
      <w:r>
        <w:rPr>
          <w:rFonts w:hint="eastAsia" w:eastAsia="仿宋_GB2312"/>
          <w:bCs/>
          <w:kern w:val="0"/>
          <w:sz w:val="32"/>
          <w:szCs w:val="32"/>
          <w:lang w:val="en-US" w:eastAsia="zh-CN"/>
        </w:rPr>
        <w:t>24</w:t>
      </w:r>
      <w:r>
        <w:rPr>
          <w:rFonts w:eastAsia="仿宋_GB2312"/>
          <w:bCs/>
          <w:kern w:val="0"/>
          <w:sz w:val="32"/>
          <w:szCs w:val="32"/>
        </w:rPr>
        <w:t>年部门决算汇总公开单位构成包括：</w:t>
      </w:r>
      <w:r>
        <w:rPr>
          <w:rFonts w:hint="default" w:ascii="Times New Roman" w:hAnsi="Times New Roman" w:eastAsia="仿宋_GB2312" w:cs="Times New Roman"/>
          <w:bCs/>
          <w:kern w:val="0"/>
          <w:sz w:val="32"/>
          <w:szCs w:val="32"/>
        </w:rPr>
        <w:t>蓝山县教育局</w:t>
      </w:r>
      <w:r>
        <w:rPr>
          <w:rFonts w:eastAsia="仿宋_GB2312"/>
          <w:bCs/>
          <w:kern w:val="0"/>
          <w:sz w:val="32"/>
          <w:szCs w:val="32"/>
        </w:rPr>
        <w:t>单位本级</w:t>
      </w:r>
      <w:r>
        <w:rPr>
          <w:rFonts w:hint="eastAsia" w:eastAsia="仿宋_GB2312"/>
          <w:bCs/>
          <w:kern w:val="0"/>
          <w:sz w:val="32"/>
          <w:szCs w:val="32"/>
          <w:lang w:eastAsia="zh-CN"/>
        </w:rPr>
        <w:t>。</w:t>
      </w:r>
    </w:p>
    <w:p>
      <w:pPr>
        <w:pStyle w:val="4"/>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8"/>
      </w:pPr>
    </w:p>
    <w:p>
      <w:pPr>
        <w:jc w:val="center"/>
        <w:rPr>
          <w:rFonts w:ascii="Times New Roman" w:hAnsi="Times New Roman" w:eastAsia="黑体" w:cs="Times New Roman"/>
          <w:sz w:val="28"/>
          <w:szCs w:val="28"/>
        </w:rPr>
      </w:pPr>
    </w:p>
    <w:p>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宋体" w:hAnsi="宋体" w:eastAsia="宋体" w:cs="宋体"/>
          <w:kern w:val="0"/>
          <w:sz w:val="20"/>
          <w:szCs w:val="20"/>
          <w:lang w:val="en-US" w:eastAsia="zh-CN"/>
        </w:rPr>
        <w:t>蓝山县教育局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1"/>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4298.32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141.35</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3920.11</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236.86</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b/>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4298.32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lang w:val="en-US" w:eastAsia="zh-CN"/>
              </w:rPr>
              <w:t>4298.32</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宋体" w:hAnsi="宋体" w:eastAsia="宋体" w:cs="宋体"/>
          <w:kern w:val="0"/>
          <w:sz w:val="20"/>
          <w:szCs w:val="20"/>
          <w:lang w:val="en-US" w:eastAsia="zh-CN"/>
        </w:rPr>
        <w:t>蓝山县教育局</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1"/>
        <w:tblW w:w="14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7"/>
        <w:gridCol w:w="1302"/>
        <w:gridCol w:w="1641"/>
        <w:gridCol w:w="1641"/>
        <w:gridCol w:w="1641"/>
        <w:gridCol w:w="1641"/>
        <w:gridCol w:w="1641"/>
        <w:gridCol w:w="1898"/>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3189" w:type="dxa"/>
            <w:gridSpan w:val="2"/>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1" w:type="dxa"/>
            <w:vMerge w:val="restart"/>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1" w:type="dxa"/>
            <w:vMerge w:val="restart"/>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1" w:type="dxa"/>
            <w:vMerge w:val="restart"/>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1" w:type="dxa"/>
            <w:vMerge w:val="restart"/>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1" w:type="dxa"/>
            <w:vMerge w:val="restart"/>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8" w:type="dxa"/>
            <w:vMerge w:val="restart"/>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4" w:type="dxa"/>
            <w:vMerge w:val="restart"/>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exact"/>
          <w:jc w:val="center"/>
        </w:trPr>
        <w:tc>
          <w:tcPr>
            <w:tcW w:w="1887" w:type="dxa"/>
            <w:vMerge w:val="restart"/>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2" w:type="dxa"/>
            <w:vMerge w:val="restart"/>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1" w:type="dxa"/>
            <w:vMerge w:val="continue"/>
            <w:vAlign w:val="center"/>
          </w:tcPr>
          <w:p>
            <w:pPr>
              <w:rPr>
                <w:rFonts w:ascii="Times New Roman" w:hAnsi="Times New Roman" w:eastAsia="仿宋_GB2312" w:cs="Times New Roman"/>
                <w:sz w:val="24"/>
                <w:szCs w:val="24"/>
              </w:rPr>
            </w:pPr>
          </w:p>
        </w:tc>
        <w:tc>
          <w:tcPr>
            <w:tcW w:w="1641" w:type="dxa"/>
            <w:vMerge w:val="continue"/>
            <w:vAlign w:val="center"/>
          </w:tcPr>
          <w:p>
            <w:pPr>
              <w:rPr>
                <w:rFonts w:ascii="Times New Roman" w:hAnsi="Times New Roman" w:eastAsia="仿宋_GB2312" w:cs="Times New Roman"/>
                <w:sz w:val="24"/>
                <w:szCs w:val="24"/>
              </w:rPr>
            </w:pPr>
          </w:p>
        </w:tc>
        <w:tc>
          <w:tcPr>
            <w:tcW w:w="1641" w:type="dxa"/>
            <w:vMerge w:val="continue"/>
            <w:vAlign w:val="center"/>
          </w:tcPr>
          <w:p>
            <w:pPr>
              <w:rPr>
                <w:rFonts w:ascii="Times New Roman" w:hAnsi="Times New Roman" w:eastAsia="仿宋_GB2312" w:cs="Times New Roman"/>
                <w:sz w:val="24"/>
                <w:szCs w:val="24"/>
              </w:rPr>
            </w:pPr>
          </w:p>
        </w:tc>
        <w:tc>
          <w:tcPr>
            <w:tcW w:w="1641" w:type="dxa"/>
            <w:vMerge w:val="continue"/>
            <w:vAlign w:val="center"/>
          </w:tcPr>
          <w:p>
            <w:pPr>
              <w:rPr>
                <w:rFonts w:ascii="Times New Roman" w:hAnsi="Times New Roman" w:eastAsia="仿宋_GB2312" w:cs="Times New Roman"/>
                <w:sz w:val="24"/>
                <w:szCs w:val="24"/>
              </w:rPr>
            </w:pPr>
          </w:p>
        </w:tc>
        <w:tc>
          <w:tcPr>
            <w:tcW w:w="1641" w:type="dxa"/>
            <w:vMerge w:val="continue"/>
            <w:vAlign w:val="center"/>
          </w:tcPr>
          <w:p>
            <w:pPr>
              <w:rPr>
                <w:rFonts w:ascii="Times New Roman" w:hAnsi="Times New Roman" w:eastAsia="仿宋_GB2312" w:cs="Times New Roman"/>
                <w:sz w:val="24"/>
                <w:szCs w:val="24"/>
              </w:rPr>
            </w:pPr>
          </w:p>
        </w:tc>
        <w:tc>
          <w:tcPr>
            <w:tcW w:w="1898" w:type="dxa"/>
            <w:vMerge w:val="continue"/>
            <w:vAlign w:val="center"/>
          </w:tcPr>
          <w:p>
            <w:pPr>
              <w:rPr>
                <w:rFonts w:ascii="Times New Roman" w:hAnsi="Times New Roman" w:eastAsia="仿宋_GB2312" w:cs="Times New Roman"/>
                <w:sz w:val="24"/>
                <w:szCs w:val="24"/>
              </w:rPr>
            </w:pPr>
          </w:p>
        </w:tc>
        <w:tc>
          <w:tcPr>
            <w:tcW w:w="1384" w:type="dxa"/>
            <w:vMerge w:val="continue"/>
            <w:vAlign w:val="center"/>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1887" w:type="dxa"/>
            <w:vMerge w:val="continue"/>
            <w:vAlign w:val="center"/>
          </w:tcPr>
          <w:p>
            <w:pPr>
              <w:rPr>
                <w:rFonts w:ascii="Times New Roman" w:hAnsi="Times New Roman" w:eastAsia="仿宋_GB2312" w:cs="Times New Roman"/>
                <w:sz w:val="24"/>
                <w:szCs w:val="24"/>
              </w:rPr>
            </w:pPr>
          </w:p>
        </w:tc>
        <w:tc>
          <w:tcPr>
            <w:tcW w:w="1302" w:type="dxa"/>
            <w:vMerge w:val="continue"/>
            <w:vAlign w:val="center"/>
          </w:tcPr>
          <w:p>
            <w:pPr>
              <w:rPr>
                <w:rFonts w:ascii="Times New Roman" w:hAnsi="Times New Roman" w:eastAsia="仿宋_GB2312" w:cs="Times New Roman"/>
                <w:sz w:val="24"/>
                <w:szCs w:val="24"/>
              </w:rPr>
            </w:pPr>
          </w:p>
        </w:tc>
        <w:tc>
          <w:tcPr>
            <w:tcW w:w="1641" w:type="dxa"/>
            <w:vMerge w:val="continue"/>
            <w:vAlign w:val="center"/>
          </w:tcPr>
          <w:p>
            <w:pPr>
              <w:rPr>
                <w:rFonts w:ascii="Times New Roman" w:hAnsi="Times New Roman" w:eastAsia="仿宋_GB2312" w:cs="Times New Roman"/>
                <w:sz w:val="24"/>
                <w:szCs w:val="24"/>
              </w:rPr>
            </w:pPr>
          </w:p>
        </w:tc>
        <w:tc>
          <w:tcPr>
            <w:tcW w:w="1641" w:type="dxa"/>
            <w:vMerge w:val="continue"/>
            <w:vAlign w:val="center"/>
          </w:tcPr>
          <w:p>
            <w:pPr>
              <w:rPr>
                <w:rFonts w:ascii="Times New Roman" w:hAnsi="Times New Roman" w:eastAsia="仿宋_GB2312" w:cs="Times New Roman"/>
                <w:sz w:val="24"/>
                <w:szCs w:val="24"/>
              </w:rPr>
            </w:pPr>
          </w:p>
        </w:tc>
        <w:tc>
          <w:tcPr>
            <w:tcW w:w="1641" w:type="dxa"/>
            <w:vMerge w:val="continue"/>
            <w:vAlign w:val="center"/>
          </w:tcPr>
          <w:p>
            <w:pPr>
              <w:rPr>
                <w:rFonts w:ascii="Times New Roman" w:hAnsi="Times New Roman" w:eastAsia="仿宋_GB2312" w:cs="Times New Roman"/>
                <w:sz w:val="24"/>
                <w:szCs w:val="24"/>
              </w:rPr>
            </w:pPr>
          </w:p>
        </w:tc>
        <w:tc>
          <w:tcPr>
            <w:tcW w:w="1641" w:type="dxa"/>
            <w:vMerge w:val="continue"/>
            <w:vAlign w:val="center"/>
          </w:tcPr>
          <w:p>
            <w:pPr>
              <w:rPr>
                <w:rFonts w:ascii="Times New Roman" w:hAnsi="Times New Roman" w:eastAsia="仿宋_GB2312" w:cs="Times New Roman"/>
                <w:sz w:val="24"/>
                <w:szCs w:val="24"/>
              </w:rPr>
            </w:pPr>
          </w:p>
        </w:tc>
        <w:tc>
          <w:tcPr>
            <w:tcW w:w="1641" w:type="dxa"/>
            <w:vMerge w:val="continue"/>
            <w:vAlign w:val="center"/>
          </w:tcPr>
          <w:p>
            <w:pPr>
              <w:rPr>
                <w:rFonts w:ascii="Times New Roman" w:hAnsi="Times New Roman" w:eastAsia="仿宋_GB2312" w:cs="Times New Roman"/>
                <w:sz w:val="24"/>
                <w:szCs w:val="24"/>
              </w:rPr>
            </w:pPr>
          </w:p>
        </w:tc>
        <w:tc>
          <w:tcPr>
            <w:tcW w:w="1898" w:type="dxa"/>
            <w:vMerge w:val="continue"/>
            <w:vAlign w:val="center"/>
          </w:tcPr>
          <w:p>
            <w:pPr>
              <w:rPr>
                <w:rFonts w:ascii="Times New Roman" w:hAnsi="Times New Roman" w:eastAsia="仿宋_GB2312" w:cs="Times New Roman"/>
                <w:sz w:val="24"/>
                <w:szCs w:val="24"/>
              </w:rPr>
            </w:pPr>
          </w:p>
        </w:tc>
        <w:tc>
          <w:tcPr>
            <w:tcW w:w="1384" w:type="dxa"/>
            <w:vMerge w:val="continue"/>
            <w:vAlign w:val="center"/>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3189" w:type="dxa"/>
            <w:gridSpan w:val="2"/>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1" w:type="dxa"/>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1" w:type="dxa"/>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1" w:type="dxa"/>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1" w:type="dxa"/>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1" w:type="dxa"/>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8" w:type="dxa"/>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4" w:type="dxa"/>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3189" w:type="dxa"/>
            <w:gridSpan w:val="2"/>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4298.32</w:t>
            </w:r>
            <w:r>
              <w:rPr>
                <w:rFonts w:ascii="Times New Roman" w:hAnsi="Times New Roman" w:eastAsia="仿宋_GB2312" w:cs="Times New Roman"/>
              </w:rPr>
              <w:t>　</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4298.32</w:t>
            </w:r>
            <w:r>
              <w:rPr>
                <w:rFonts w:ascii="Times New Roman" w:hAnsi="Times New Roman" w:eastAsia="仿宋_GB2312" w:cs="Times New Roman"/>
              </w:rPr>
              <w:t>　</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8"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4"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1887"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2019999</w:t>
            </w:r>
          </w:p>
        </w:tc>
        <w:tc>
          <w:tcPr>
            <w:tcW w:w="1302"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141.35</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141.35</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8"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4"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887"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2050101</w:t>
            </w:r>
          </w:p>
        </w:tc>
        <w:tc>
          <w:tcPr>
            <w:tcW w:w="1302"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1,178.28</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1,178.28</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8"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4"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1887"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2050199</w:t>
            </w:r>
          </w:p>
        </w:tc>
        <w:tc>
          <w:tcPr>
            <w:tcW w:w="1302"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其他教育管理事务支出</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143.16</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143.16</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8"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4"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887"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2050201</w:t>
            </w:r>
          </w:p>
        </w:tc>
        <w:tc>
          <w:tcPr>
            <w:tcW w:w="1302"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学前教育</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601.07</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601.07</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8"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4"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887"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2050202</w:t>
            </w:r>
          </w:p>
        </w:tc>
        <w:tc>
          <w:tcPr>
            <w:tcW w:w="1302"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小学教育</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991.97</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991.97</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8"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4"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887"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2050203</w:t>
            </w:r>
          </w:p>
        </w:tc>
        <w:tc>
          <w:tcPr>
            <w:tcW w:w="1302"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初中教育</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646.16</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646.16</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8"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4"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1887"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2050299</w:t>
            </w:r>
          </w:p>
        </w:tc>
        <w:tc>
          <w:tcPr>
            <w:tcW w:w="1302"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其他普通教育支出</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234.01</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234.01</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8"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4"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1887"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2050402</w:t>
            </w:r>
          </w:p>
        </w:tc>
        <w:tc>
          <w:tcPr>
            <w:tcW w:w="1302"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成人中等教育</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8"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4"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887"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2050801</w:t>
            </w:r>
          </w:p>
        </w:tc>
        <w:tc>
          <w:tcPr>
            <w:tcW w:w="1302"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教师进修</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40.49</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40.49</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8"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4"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1887"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2050999</w:t>
            </w:r>
          </w:p>
        </w:tc>
        <w:tc>
          <w:tcPr>
            <w:tcW w:w="1302"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47.96</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47.96</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8"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4"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1887"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2059999</w:t>
            </w:r>
          </w:p>
        </w:tc>
        <w:tc>
          <w:tcPr>
            <w:tcW w:w="1302"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其他教育支出</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35.00</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35.00</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8"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4"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887"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2070108</w:t>
            </w:r>
          </w:p>
        </w:tc>
        <w:tc>
          <w:tcPr>
            <w:tcW w:w="1302"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文化活动</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0.19</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0.19</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8"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4"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1887"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2079999</w:t>
            </w:r>
          </w:p>
        </w:tc>
        <w:tc>
          <w:tcPr>
            <w:tcW w:w="1302"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8"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4"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1887"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2080116</w:t>
            </w:r>
          </w:p>
        </w:tc>
        <w:tc>
          <w:tcPr>
            <w:tcW w:w="1302"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引进人才费用</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8"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4"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1887"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2080501</w:t>
            </w:r>
          </w:p>
        </w:tc>
        <w:tc>
          <w:tcPr>
            <w:tcW w:w="1302"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行政单位离退休</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0.62</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0.62</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8"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4"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1" w:hRule="atLeast"/>
          <w:jc w:val="center"/>
        </w:trPr>
        <w:tc>
          <w:tcPr>
            <w:tcW w:w="1887"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302"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139.87</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139.87</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8"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4"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1887"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1302"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18.60</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18.60</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8"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4"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887"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1302"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4.14</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4.14</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8"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4"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887"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2080802</w:t>
            </w:r>
          </w:p>
        </w:tc>
        <w:tc>
          <w:tcPr>
            <w:tcW w:w="1302"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伤残抚恤</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13.38</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13.38</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8"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4"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1887"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1302" w:type="dxa"/>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48.06</w:t>
            </w:r>
          </w:p>
        </w:tc>
        <w:tc>
          <w:tcPr>
            <w:tcW w:w="1641" w:type="dxa"/>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48.06</w:t>
            </w: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1"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8"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4" w:type="dxa"/>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宋体" w:hAnsi="宋体" w:eastAsia="宋体" w:cs="宋体"/>
          <w:kern w:val="0"/>
          <w:sz w:val="20"/>
          <w:szCs w:val="20"/>
          <w:lang w:val="en-US" w:eastAsia="zh-CN"/>
        </w:rPr>
        <w:t>蓝山县教育局</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1"/>
        <w:tblW w:w="4996" w:type="pct"/>
        <w:jc w:val="center"/>
        <w:tblLayout w:type="autofit"/>
        <w:tblCellMar>
          <w:top w:w="0" w:type="dxa"/>
          <w:left w:w="108" w:type="dxa"/>
          <w:bottom w:w="0" w:type="dxa"/>
          <w:right w:w="108" w:type="dxa"/>
        </w:tblCellMar>
      </w:tblPr>
      <w:tblGrid>
        <w:gridCol w:w="2082"/>
        <w:gridCol w:w="3739"/>
        <w:gridCol w:w="1533"/>
        <w:gridCol w:w="1103"/>
        <w:gridCol w:w="1103"/>
        <w:gridCol w:w="1305"/>
        <w:gridCol w:w="987"/>
        <w:gridCol w:w="2357"/>
      </w:tblGrid>
      <w:tr>
        <w:tblPrEx>
          <w:tblCellMar>
            <w:top w:w="0" w:type="dxa"/>
            <w:left w:w="108" w:type="dxa"/>
            <w:bottom w:w="0" w:type="dxa"/>
            <w:right w:w="108" w:type="dxa"/>
          </w:tblCellMar>
        </w:tblPrEx>
        <w:trPr>
          <w:trHeight w:val="595" w:hRule="atLeast"/>
          <w:jc w:val="center"/>
        </w:trPr>
        <w:tc>
          <w:tcPr>
            <w:tcW w:w="2047"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3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38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8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4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4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2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CellMar>
            <w:top w:w="0" w:type="dxa"/>
            <w:left w:w="108" w:type="dxa"/>
            <w:bottom w:w="0" w:type="dxa"/>
            <w:right w:w="108" w:type="dxa"/>
          </w:tblCellMar>
        </w:tblPrEx>
        <w:trPr>
          <w:trHeight w:val="312" w:hRule="exact"/>
          <w:jc w:val="center"/>
        </w:trPr>
        <w:tc>
          <w:tcPr>
            <w:tcW w:w="73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314"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38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38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34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82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CellMar>
            <w:top w:w="0" w:type="dxa"/>
            <w:left w:w="108" w:type="dxa"/>
            <w:bottom w:w="0" w:type="dxa"/>
            <w:right w:w="108" w:type="dxa"/>
          </w:tblCellMar>
        </w:tblPrEx>
        <w:trPr>
          <w:trHeight w:val="595" w:hRule="atLeast"/>
          <w:jc w:val="center"/>
        </w:trPr>
        <w:tc>
          <w:tcPr>
            <w:tcW w:w="73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14"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8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8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4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82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2047"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3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8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8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45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47"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2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CellMar>
            <w:top w:w="0" w:type="dxa"/>
            <w:left w:w="108" w:type="dxa"/>
            <w:bottom w:w="0" w:type="dxa"/>
            <w:right w:w="108" w:type="dxa"/>
          </w:tblCellMar>
        </w:tblPrEx>
        <w:trPr>
          <w:trHeight w:val="595" w:hRule="atLeast"/>
          <w:jc w:val="center"/>
        </w:trPr>
        <w:tc>
          <w:tcPr>
            <w:tcW w:w="2047"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合计</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4,298.32</w:t>
            </w:r>
          </w:p>
        </w:tc>
        <w:tc>
          <w:tcPr>
            <w:tcW w:w="3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2,375.72</w:t>
            </w:r>
          </w:p>
        </w:tc>
        <w:tc>
          <w:tcPr>
            <w:tcW w:w="3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1,922.60</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7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2019999</w:t>
            </w:r>
          </w:p>
        </w:tc>
        <w:tc>
          <w:tcPr>
            <w:tcW w:w="13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141.35</w:t>
            </w:r>
          </w:p>
        </w:tc>
        <w:tc>
          <w:tcPr>
            <w:tcW w:w="3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141.35</w:t>
            </w:r>
          </w:p>
        </w:tc>
        <w:tc>
          <w:tcPr>
            <w:tcW w:w="38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7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2050101</w:t>
            </w:r>
          </w:p>
        </w:tc>
        <w:tc>
          <w:tcPr>
            <w:tcW w:w="13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1,178.28</w:t>
            </w:r>
          </w:p>
        </w:tc>
        <w:tc>
          <w:tcPr>
            <w:tcW w:w="3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1,178.28</w:t>
            </w:r>
          </w:p>
        </w:tc>
        <w:tc>
          <w:tcPr>
            <w:tcW w:w="38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7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2050199</w:t>
            </w:r>
          </w:p>
        </w:tc>
        <w:tc>
          <w:tcPr>
            <w:tcW w:w="13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其他教育管理事务支出</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143.16</w:t>
            </w:r>
          </w:p>
        </w:tc>
        <w:tc>
          <w:tcPr>
            <w:tcW w:w="38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3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143.16</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7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2050201</w:t>
            </w:r>
          </w:p>
        </w:tc>
        <w:tc>
          <w:tcPr>
            <w:tcW w:w="13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学前教育</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601.07</w:t>
            </w:r>
          </w:p>
        </w:tc>
        <w:tc>
          <w:tcPr>
            <w:tcW w:w="38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3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601.07</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7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2050202</w:t>
            </w:r>
          </w:p>
        </w:tc>
        <w:tc>
          <w:tcPr>
            <w:tcW w:w="13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小学教育</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991.97</w:t>
            </w:r>
          </w:p>
        </w:tc>
        <w:tc>
          <w:tcPr>
            <w:tcW w:w="3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476.77</w:t>
            </w:r>
          </w:p>
        </w:tc>
        <w:tc>
          <w:tcPr>
            <w:tcW w:w="3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515.20</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7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2050203</w:t>
            </w:r>
          </w:p>
        </w:tc>
        <w:tc>
          <w:tcPr>
            <w:tcW w:w="13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初中教育</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646.16</w:t>
            </w:r>
          </w:p>
        </w:tc>
        <w:tc>
          <w:tcPr>
            <w:tcW w:w="3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331.31</w:t>
            </w:r>
          </w:p>
        </w:tc>
        <w:tc>
          <w:tcPr>
            <w:tcW w:w="3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314.85</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2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2050299</w:t>
            </w:r>
          </w:p>
        </w:tc>
        <w:tc>
          <w:tcPr>
            <w:tcW w:w="13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其他普通教育支出</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234.01</w:t>
            </w:r>
          </w:p>
        </w:tc>
        <w:tc>
          <w:tcPr>
            <w:tcW w:w="38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3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234.01</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2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2050402</w:t>
            </w:r>
          </w:p>
        </w:tc>
        <w:tc>
          <w:tcPr>
            <w:tcW w:w="13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成人中等教育</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3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38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2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2050801</w:t>
            </w:r>
          </w:p>
        </w:tc>
        <w:tc>
          <w:tcPr>
            <w:tcW w:w="13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教师进修</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40.49</w:t>
            </w:r>
          </w:p>
        </w:tc>
        <w:tc>
          <w:tcPr>
            <w:tcW w:w="38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3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40.49</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2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2050999</w:t>
            </w:r>
          </w:p>
        </w:tc>
        <w:tc>
          <w:tcPr>
            <w:tcW w:w="13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47.96</w:t>
            </w:r>
          </w:p>
        </w:tc>
        <w:tc>
          <w:tcPr>
            <w:tcW w:w="3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19.13</w:t>
            </w:r>
          </w:p>
        </w:tc>
        <w:tc>
          <w:tcPr>
            <w:tcW w:w="3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28.83</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2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2059999</w:t>
            </w:r>
          </w:p>
        </w:tc>
        <w:tc>
          <w:tcPr>
            <w:tcW w:w="13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其他教育支出</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35.00</w:t>
            </w:r>
          </w:p>
        </w:tc>
        <w:tc>
          <w:tcPr>
            <w:tcW w:w="38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3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35.00</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2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2070108</w:t>
            </w:r>
          </w:p>
        </w:tc>
        <w:tc>
          <w:tcPr>
            <w:tcW w:w="13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文化活动</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0.19</w:t>
            </w:r>
          </w:p>
        </w:tc>
        <w:tc>
          <w:tcPr>
            <w:tcW w:w="3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0.19</w:t>
            </w:r>
          </w:p>
        </w:tc>
        <w:tc>
          <w:tcPr>
            <w:tcW w:w="38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2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2079999</w:t>
            </w:r>
          </w:p>
        </w:tc>
        <w:tc>
          <w:tcPr>
            <w:tcW w:w="13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38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3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2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2080116</w:t>
            </w:r>
          </w:p>
        </w:tc>
        <w:tc>
          <w:tcPr>
            <w:tcW w:w="13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引进人才费用</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8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2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2080501</w:t>
            </w:r>
          </w:p>
        </w:tc>
        <w:tc>
          <w:tcPr>
            <w:tcW w:w="13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行政单位离退休</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0.62</w:t>
            </w:r>
          </w:p>
        </w:tc>
        <w:tc>
          <w:tcPr>
            <w:tcW w:w="3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0.62</w:t>
            </w:r>
          </w:p>
        </w:tc>
        <w:tc>
          <w:tcPr>
            <w:tcW w:w="38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2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3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139.87</w:t>
            </w:r>
          </w:p>
        </w:tc>
        <w:tc>
          <w:tcPr>
            <w:tcW w:w="3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139.87</w:t>
            </w:r>
          </w:p>
        </w:tc>
        <w:tc>
          <w:tcPr>
            <w:tcW w:w="38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2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13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18.60</w:t>
            </w:r>
          </w:p>
        </w:tc>
        <w:tc>
          <w:tcPr>
            <w:tcW w:w="3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18.60</w:t>
            </w:r>
          </w:p>
        </w:tc>
        <w:tc>
          <w:tcPr>
            <w:tcW w:w="38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2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13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4.14</w:t>
            </w:r>
          </w:p>
        </w:tc>
        <w:tc>
          <w:tcPr>
            <w:tcW w:w="3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4.14</w:t>
            </w:r>
          </w:p>
        </w:tc>
        <w:tc>
          <w:tcPr>
            <w:tcW w:w="38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2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2080802</w:t>
            </w:r>
          </w:p>
        </w:tc>
        <w:tc>
          <w:tcPr>
            <w:tcW w:w="13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伤残抚恤</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13.38</w:t>
            </w:r>
          </w:p>
        </w:tc>
        <w:tc>
          <w:tcPr>
            <w:tcW w:w="3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13.38</w:t>
            </w:r>
          </w:p>
        </w:tc>
        <w:tc>
          <w:tcPr>
            <w:tcW w:w="38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2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3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13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48.06</w:t>
            </w:r>
          </w:p>
        </w:tc>
        <w:tc>
          <w:tcPr>
            <w:tcW w:w="3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48.06</w:t>
            </w:r>
          </w:p>
        </w:tc>
        <w:tc>
          <w:tcPr>
            <w:tcW w:w="388" w:type="pct"/>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2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宋体" w:hAnsi="宋体" w:eastAsia="宋体" w:cs="宋体"/>
          <w:kern w:val="0"/>
          <w:sz w:val="20"/>
          <w:szCs w:val="20"/>
          <w:lang w:val="en-US" w:eastAsia="zh-CN"/>
        </w:rPr>
        <w:t>蓝山县教育局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1"/>
        <w:tblW w:w="0" w:type="auto"/>
        <w:jc w:val="center"/>
        <w:tblLayout w:type="autofit"/>
        <w:tblCellMar>
          <w:top w:w="0" w:type="dxa"/>
          <w:left w:w="108" w:type="dxa"/>
          <w:bottom w:w="0" w:type="dxa"/>
          <w:right w:w="108" w:type="dxa"/>
        </w:tblCellMar>
      </w:tblPr>
      <w:tblGrid>
        <w:gridCol w:w="3516"/>
        <w:gridCol w:w="616"/>
        <w:gridCol w:w="931"/>
        <w:gridCol w:w="2636"/>
        <w:gridCol w:w="616"/>
        <w:gridCol w:w="931"/>
        <w:gridCol w:w="1715"/>
        <w:gridCol w:w="1574"/>
        <w:gridCol w:w="1685"/>
      </w:tblGrid>
      <w:tr>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7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7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4298.32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141.35</w:t>
            </w:r>
          </w:p>
        </w:tc>
        <w:tc>
          <w:tcPr>
            <w:tcW w:w="17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141.35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3920.11</w:t>
            </w:r>
          </w:p>
        </w:tc>
        <w:tc>
          <w:tcPr>
            <w:tcW w:w="17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3920.11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236.86</w:t>
            </w:r>
          </w:p>
        </w:tc>
        <w:tc>
          <w:tcPr>
            <w:tcW w:w="17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236.86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4298.32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4298.32</w:t>
            </w:r>
          </w:p>
        </w:tc>
        <w:tc>
          <w:tcPr>
            <w:tcW w:w="17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4298.32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4298.32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931"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4298.32</w:t>
            </w:r>
          </w:p>
        </w:tc>
        <w:tc>
          <w:tcPr>
            <w:tcW w:w="1715"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4298.32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宋体" w:hAnsi="宋体" w:eastAsia="宋体" w:cs="宋体"/>
          <w:kern w:val="0"/>
          <w:sz w:val="20"/>
          <w:szCs w:val="20"/>
          <w:lang w:val="en-US" w:eastAsia="zh-CN"/>
        </w:rPr>
        <w:t xml:space="preserve">蓝山县教育局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4,298.32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2,375.72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1,922.60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141.35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141.35</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2050101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1,178.28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1,178.28</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2050199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其他教育管理事务支出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143.16</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143.16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学前教育</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601.07</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601.07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小学教育</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991.97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476.77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515.20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初中教育</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646.16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331.31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314.85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2050299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其他普通教育支出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234.01</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234.01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2050402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成人中等教育</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2050801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教师进修</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40.49</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40.49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2050999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47.96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19.13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28.83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2059999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其他教育支出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35.00</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文化活动</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0.19</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2079999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2080116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引进人才费用</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行政单位离退休</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0.62</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139.87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139.87</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18.60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18.60</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4.14</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伤残抚恤</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13.38</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48.06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48.06</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宋体" w:hAnsi="宋体" w:eastAsia="宋体" w:cs="宋体"/>
                <w:i w:val="0"/>
                <w:iCs w:val="0"/>
                <w:color w:val="000000"/>
                <w:kern w:val="2"/>
                <w:sz w:val="22"/>
                <w:szCs w:val="22"/>
                <w:u w:val="none"/>
                <w:lang w:val="en-US" w:eastAsia="zh-CN" w:bidi="ar-SA"/>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宋体" w:hAnsi="宋体" w:eastAsia="宋体" w:cs="宋体"/>
          <w:kern w:val="0"/>
          <w:sz w:val="20"/>
          <w:szCs w:val="20"/>
          <w:lang w:val="en-US" w:eastAsia="zh-CN"/>
        </w:rPr>
        <w:t>蓝山县教育局</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w:t>
            </w:r>
          </w:p>
        </w:tc>
        <w:tc>
          <w:tcPr>
            <w:tcW w:w="28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工资福利支出</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1,459.97</w:t>
            </w:r>
          </w:p>
        </w:tc>
        <w:tc>
          <w:tcPr>
            <w:tcW w:w="11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w:t>
            </w:r>
          </w:p>
        </w:tc>
        <w:tc>
          <w:tcPr>
            <w:tcW w:w="20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商品和服务支出</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746.76</w:t>
            </w:r>
          </w:p>
        </w:tc>
        <w:tc>
          <w:tcPr>
            <w:tcW w:w="12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307</w:t>
            </w:r>
          </w:p>
        </w:tc>
        <w:tc>
          <w:tcPr>
            <w:tcW w:w="35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30101</w:t>
            </w:r>
          </w:p>
        </w:tc>
        <w:tc>
          <w:tcPr>
            <w:tcW w:w="28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479.01</w:t>
            </w:r>
          </w:p>
        </w:tc>
        <w:tc>
          <w:tcPr>
            <w:tcW w:w="11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30201</w:t>
            </w:r>
          </w:p>
        </w:tc>
        <w:tc>
          <w:tcPr>
            <w:tcW w:w="20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472.74</w:t>
            </w:r>
          </w:p>
        </w:tc>
        <w:tc>
          <w:tcPr>
            <w:tcW w:w="12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30701</w:t>
            </w:r>
          </w:p>
        </w:tc>
        <w:tc>
          <w:tcPr>
            <w:tcW w:w="35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30102</w:t>
            </w:r>
          </w:p>
        </w:tc>
        <w:tc>
          <w:tcPr>
            <w:tcW w:w="28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47.45</w:t>
            </w:r>
          </w:p>
        </w:tc>
        <w:tc>
          <w:tcPr>
            <w:tcW w:w="11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30202</w:t>
            </w:r>
          </w:p>
        </w:tc>
        <w:tc>
          <w:tcPr>
            <w:tcW w:w="20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24.90</w:t>
            </w:r>
          </w:p>
        </w:tc>
        <w:tc>
          <w:tcPr>
            <w:tcW w:w="12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30702</w:t>
            </w:r>
          </w:p>
        </w:tc>
        <w:tc>
          <w:tcPr>
            <w:tcW w:w="35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30103</w:t>
            </w:r>
          </w:p>
        </w:tc>
        <w:tc>
          <w:tcPr>
            <w:tcW w:w="28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413.55</w:t>
            </w:r>
          </w:p>
        </w:tc>
        <w:tc>
          <w:tcPr>
            <w:tcW w:w="11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30203</w:t>
            </w:r>
          </w:p>
        </w:tc>
        <w:tc>
          <w:tcPr>
            <w:tcW w:w="20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w:t>
            </w:r>
          </w:p>
        </w:tc>
        <w:tc>
          <w:tcPr>
            <w:tcW w:w="35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资本性支出</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122.17</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30106</w:t>
            </w:r>
          </w:p>
        </w:tc>
        <w:tc>
          <w:tcPr>
            <w:tcW w:w="28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17.38</w:t>
            </w:r>
          </w:p>
        </w:tc>
        <w:tc>
          <w:tcPr>
            <w:tcW w:w="11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30204</w:t>
            </w:r>
          </w:p>
        </w:tc>
        <w:tc>
          <w:tcPr>
            <w:tcW w:w="20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31001</w:t>
            </w:r>
          </w:p>
        </w:tc>
        <w:tc>
          <w:tcPr>
            <w:tcW w:w="35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30107</w:t>
            </w:r>
          </w:p>
        </w:tc>
        <w:tc>
          <w:tcPr>
            <w:tcW w:w="28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279.84</w:t>
            </w:r>
          </w:p>
        </w:tc>
        <w:tc>
          <w:tcPr>
            <w:tcW w:w="11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30205</w:t>
            </w:r>
          </w:p>
        </w:tc>
        <w:tc>
          <w:tcPr>
            <w:tcW w:w="20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12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31002</w:t>
            </w:r>
          </w:p>
        </w:tc>
        <w:tc>
          <w:tcPr>
            <w:tcW w:w="35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8.02</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30108</w:t>
            </w:r>
          </w:p>
        </w:tc>
        <w:tc>
          <w:tcPr>
            <w:tcW w:w="28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135.93</w:t>
            </w:r>
          </w:p>
        </w:tc>
        <w:tc>
          <w:tcPr>
            <w:tcW w:w="11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30206</w:t>
            </w:r>
          </w:p>
        </w:tc>
        <w:tc>
          <w:tcPr>
            <w:tcW w:w="20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10.02</w:t>
            </w:r>
          </w:p>
        </w:tc>
        <w:tc>
          <w:tcPr>
            <w:tcW w:w="12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31003</w:t>
            </w:r>
          </w:p>
        </w:tc>
        <w:tc>
          <w:tcPr>
            <w:tcW w:w="35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109.70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30109</w:t>
            </w:r>
          </w:p>
        </w:tc>
        <w:tc>
          <w:tcPr>
            <w:tcW w:w="28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30207</w:t>
            </w:r>
          </w:p>
        </w:tc>
        <w:tc>
          <w:tcPr>
            <w:tcW w:w="20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7.46</w:t>
            </w:r>
          </w:p>
        </w:tc>
        <w:tc>
          <w:tcPr>
            <w:tcW w:w="12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31005</w:t>
            </w:r>
          </w:p>
        </w:tc>
        <w:tc>
          <w:tcPr>
            <w:tcW w:w="35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30110</w:t>
            </w:r>
          </w:p>
        </w:tc>
        <w:tc>
          <w:tcPr>
            <w:tcW w:w="28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62.29</w:t>
            </w:r>
          </w:p>
        </w:tc>
        <w:tc>
          <w:tcPr>
            <w:tcW w:w="11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30208</w:t>
            </w:r>
          </w:p>
        </w:tc>
        <w:tc>
          <w:tcPr>
            <w:tcW w:w="20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31006</w:t>
            </w:r>
          </w:p>
        </w:tc>
        <w:tc>
          <w:tcPr>
            <w:tcW w:w="35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30111</w:t>
            </w:r>
          </w:p>
        </w:tc>
        <w:tc>
          <w:tcPr>
            <w:tcW w:w="28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30209</w:t>
            </w:r>
          </w:p>
        </w:tc>
        <w:tc>
          <w:tcPr>
            <w:tcW w:w="20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31007</w:t>
            </w:r>
          </w:p>
        </w:tc>
        <w:tc>
          <w:tcPr>
            <w:tcW w:w="35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30112</w:t>
            </w:r>
          </w:p>
        </w:tc>
        <w:tc>
          <w:tcPr>
            <w:tcW w:w="28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8.53</w:t>
            </w:r>
          </w:p>
        </w:tc>
        <w:tc>
          <w:tcPr>
            <w:tcW w:w="11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30211</w:t>
            </w:r>
          </w:p>
        </w:tc>
        <w:tc>
          <w:tcPr>
            <w:tcW w:w="20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8.77</w:t>
            </w:r>
          </w:p>
        </w:tc>
        <w:tc>
          <w:tcPr>
            <w:tcW w:w="12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31008</w:t>
            </w:r>
          </w:p>
        </w:tc>
        <w:tc>
          <w:tcPr>
            <w:tcW w:w="35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30113</w:t>
            </w:r>
          </w:p>
        </w:tc>
        <w:tc>
          <w:tcPr>
            <w:tcW w:w="28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30212</w:t>
            </w:r>
          </w:p>
        </w:tc>
        <w:tc>
          <w:tcPr>
            <w:tcW w:w="20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31009</w:t>
            </w:r>
          </w:p>
        </w:tc>
        <w:tc>
          <w:tcPr>
            <w:tcW w:w="35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30114</w:t>
            </w:r>
          </w:p>
        </w:tc>
        <w:tc>
          <w:tcPr>
            <w:tcW w:w="28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30213</w:t>
            </w:r>
          </w:p>
        </w:tc>
        <w:tc>
          <w:tcPr>
            <w:tcW w:w="20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4.96</w:t>
            </w:r>
          </w:p>
        </w:tc>
        <w:tc>
          <w:tcPr>
            <w:tcW w:w="12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31010</w:t>
            </w:r>
          </w:p>
        </w:tc>
        <w:tc>
          <w:tcPr>
            <w:tcW w:w="35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30199</w:t>
            </w:r>
          </w:p>
        </w:tc>
        <w:tc>
          <w:tcPr>
            <w:tcW w:w="28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15.99</w:t>
            </w:r>
          </w:p>
        </w:tc>
        <w:tc>
          <w:tcPr>
            <w:tcW w:w="11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30214</w:t>
            </w:r>
          </w:p>
        </w:tc>
        <w:tc>
          <w:tcPr>
            <w:tcW w:w="20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7.07</w:t>
            </w:r>
          </w:p>
        </w:tc>
        <w:tc>
          <w:tcPr>
            <w:tcW w:w="12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31011</w:t>
            </w:r>
          </w:p>
        </w:tc>
        <w:tc>
          <w:tcPr>
            <w:tcW w:w="35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w:t>
            </w:r>
          </w:p>
        </w:tc>
        <w:tc>
          <w:tcPr>
            <w:tcW w:w="28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46.82</w:t>
            </w:r>
          </w:p>
        </w:tc>
        <w:tc>
          <w:tcPr>
            <w:tcW w:w="11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30215</w:t>
            </w:r>
          </w:p>
        </w:tc>
        <w:tc>
          <w:tcPr>
            <w:tcW w:w="20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6.44</w:t>
            </w:r>
          </w:p>
        </w:tc>
        <w:tc>
          <w:tcPr>
            <w:tcW w:w="12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31012</w:t>
            </w:r>
          </w:p>
        </w:tc>
        <w:tc>
          <w:tcPr>
            <w:tcW w:w="35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30301</w:t>
            </w:r>
          </w:p>
        </w:tc>
        <w:tc>
          <w:tcPr>
            <w:tcW w:w="28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30216</w:t>
            </w:r>
          </w:p>
        </w:tc>
        <w:tc>
          <w:tcPr>
            <w:tcW w:w="20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0.14</w:t>
            </w:r>
          </w:p>
        </w:tc>
        <w:tc>
          <w:tcPr>
            <w:tcW w:w="12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31013</w:t>
            </w:r>
          </w:p>
        </w:tc>
        <w:tc>
          <w:tcPr>
            <w:tcW w:w="35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30302</w:t>
            </w:r>
          </w:p>
        </w:tc>
        <w:tc>
          <w:tcPr>
            <w:tcW w:w="28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30217</w:t>
            </w:r>
          </w:p>
        </w:tc>
        <w:tc>
          <w:tcPr>
            <w:tcW w:w="20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4.19</w:t>
            </w:r>
          </w:p>
        </w:tc>
        <w:tc>
          <w:tcPr>
            <w:tcW w:w="12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31019</w:t>
            </w:r>
          </w:p>
        </w:tc>
        <w:tc>
          <w:tcPr>
            <w:tcW w:w="35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30303</w:t>
            </w:r>
          </w:p>
        </w:tc>
        <w:tc>
          <w:tcPr>
            <w:tcW w:w="28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30218</w:t>
            </w:r>
          </w:p>
        </w:tc>
        <w:tc>
          <w:tcPr>
            <w:tcW w:w="20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31021</w:t>
            </w:r>
          </w:p>
        </w:tc>
        <w:tc>
          <w:tcPr>
            <w:tcW w:w="35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30304</w:t>
            </w:r>
          </w:p>
        </w:tc>
        <w:tc>
          <w:tcPr>
            <w:tcW w:w="28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13.38</w:t>
            </w:r>
          </w:p>
        </w:tc>
        <w:tc>
          <w:tcPr>
            <w:tcW w:w="11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30224</w:t>
            </w:r>
          </w:p>
        </w:tc>
        <w:tc>
          <w:tcPr>
            <w:tcW w:w="20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31022</w:t>
            </w:r>
          </w:p>
        </w:tc>
        <w:tc>
          <w:tcPr>
            <w:tcW w:w="35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30305</w:t>
            </w:r>
          </w:p>
        </w:tc>
        <w:tc>
          <w:tcPr>
            <w:tcW w:w="28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22.74</w:t>
            </w:r>
          </w:p>
        </w:tc>
        <w:tc>
          <w:tcPr>
            <w:tcW w:w="11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30225</w:t>
            </w:r>
          </w:p>
        </w:tc>
        <w:tc>
          <w:tcPr>
            <w:tcW w:w="20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31099</w:t>
            </w:r>
          </w:p>
        </w:tc>
        <w:tc>
          <w:tcPr>
            <w:tcW w:w="35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4.46</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30306</w:t>
            </w:r>
          </w:p>
        </w:tc>
        <w:tc>
          <w:tcPr>
            <w:tcW w:w="28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30226</w:t>
            </w:r>
          </w:p>
        </w:tc>
        <w:tc>
          <w:tcPr>
            <w:tcW w:w="20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18.54</w:t>
            </w:r>
          </w:p>
        </w:tc>
        <w:tc>
          <w:tcPr>
            <w:tcW w:w="12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w:t>
            </w:r>
          </w:p>
        </w:tc>
        <w:tc>
          <w:tcPr>
            <w:tcW w:w="35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92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30307</w:t>
            </w:r>
          </w:p>
        </w:tc>
        <w:tc>
          <w:tcPr>
            <w:tcW w:w="28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30227</w:t>
            </w:r>
          </w:p>
        </w:tc>
        <w:tc>
          <w:tcPr>
            <w:tcW w:w="20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39907</w:t>
            </w:r>
          </w:p>
        </w:tc>
        <w:tc>
          <w:tcPr>
            <w:tcW w:w="35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30308</w:t>
            </w:r>
          </w:p>
        </w:tc>
        <w:tc>
          <w:tcPr>
            <w:tcW w:w="28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0.40</w:t>
            </w:r>
          </w:p>
        </w:tc>
        <w:tc>
          <w:tcPr>
            <w:tcW w:w="11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30228</w:t>
            </w:r>
          </w:p>
        </w:tc>
        <w:tc>
          <w:tcPr>
            <w:tcW w:w="20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29.57</w:t>
            </w:r>
          </w:p>
        </w:tc>
        <w:tc>
          <w:tcPr>
            <w:tcW w:w="12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39908</w:t>
            </w:r>
          </w:p>
        </w:tc>
        <w:tc>
          <w:tcPr>
            <w:tcW w:w="35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30309</w:t>
            </w:r>
          </w:p>
        </w:tc>
        <w:tc>
          <w:tcPr>
            <w:tcW w:w="28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7.49</w:t>
            </w:r>
          </w:p>
        </w:tc>
        <w:tc>
          <w:tcPr>
            <w:tcW w:w="11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30229</w:t>
            </w:r>
          </w:p>
        </w:tc>
        <w:tc>
          <w:tcPr>
            <w:tcW w:w="20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22.58</w:t>
            </w:r>
          </w:p>
        </w:tc>
        <w:tc>
          <w:tcPr>
            <w:tcW w:w="12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39909</w:t>
            </w:r>
          </w:p>
        </w:tc>
        <w:tc>
          <w:tcPr>
            <w:tcW w:w="35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92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30310</w:t>
            </w:r>
          </w:p>
        </w:tc>
        <w:tc>
          <w:tcPr>
            <w:tcW w:w="28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30231</w:t>
            </w:r>
          </w:p>
        </w:tc>
        <w:tc>
          <w:tcPr>
            <w:tcW w:w="20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39910</w:t>
            </w:r>
          </w:p>
        </w:tc>
        <w:tc>
          <w:tcPr>
            <w:tcW w:w="35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30311</w:t>
            </w:r>
          </w:p>
        </w:tc>
        <w:tc>
          <w:tcPr>
            <w:tcW w:w="28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30239</w:t>
            </w:r>
          </w:p>
        </w:tc>
        <w:tc>
          <w:tcPr>
            <w:tcW w:w="20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20.49</w:t>
            </w:r>
          </w:p>
        </w:tc>
        <w:tc>
          <w:tcPr>
            <w:tcW w:w="12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39999</w:t>
            </w:r>
          </w:p>
        </w:tc>
        <w:tc>
          <w:tcPr>
            <w:tcW w:w="351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30399</w:t>
            </w:r>
          </w:p>
        </w:tc>
        <w:tc>
          <w:tcPr>
            <w:tcW w:w="28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2.81</w:t>
            </w:r>
          </w:p>
        </w:tc>
        <w:tc>
          <w:tcPr>
            <w:tcW w:w="11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30240</w:t>
            </w:r>
          </w:p>
        </w:tc>
        <w:tc>
          <w:tcPr>
            <w:tcW w:w="20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kern w:val="2"/>
                <w:sz w:val="22"/>
                <w:szCs w:val="22"/>
                <w:u w:val="none"/>
                <w:lang w:val="en-US" w:eastAsia="zh-CN" w:bidi="ar-SA"/>
              </w:rPr>
            </w:pPr>
          </w:p>
        </w:tc>
        <w:tc>
          <w:tcPr>
            <w:tcW w:w="3517" w:type="dxa"/>
            <w:tcBorders>
              <w:top w:val="nil"/>
              <w:left w:val="nil"/>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kern w:val="2"/>
                <w:sz w:val="22"/>
                <w:szCs w:val="22"/>
                <w:u w:val="none"/>
                <w:lang w:val="en-US" w:eastAsia="zh-CN" w:bidi="ar-SA"/>
              </w:rPr>
            </w:pPr>
          </w:p>
        </w:tc>
        <w:tc>
          <w:tcPr>
            <w:tcW w:w="92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kern w:val="2"/>
                <w:sz w:val="22"/>
                <w:szCs w:val="22"/>
                <w:u w:val="none"/>
                <w:lang w:val="en-US" w:eastAsia="zh-CN" w:bidi="ar-SA"/>
              </w:rPr>
            </w:pPr>
          </w:p>
        </w:tc>
        <w:tc>
          <w:tcPr>
            <w:tcW w:w="2850" w:type="dxa"/>
            <w:tcBorders>
              <w:top w:val="nil"/>
              <w:left w:val="nil"/>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kern w:val="2"/>
                <w:sz w:val="22"/>
                <w:szCs w:val="22"/>
                <w:u w:val="none"/>
                <w:lang w:val="en-US" w:eastAsia="zh-CN" w:bidi="ar-SA"/>
              </w:rPr>
            </w:pPr>
          </w:p>
        </w:tc>
        <w:tc>
          <w:tcPr>
            <w:tcW w:w="96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30299</w:t>
            </w:r>
          </w:p>
        </w:tc>
        <w:tc>
          <w:tcPr>
            <w:tcW w:w="201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107.37</w:t>
            </w:r>
          </w:p>
        </w:tc>
        <w:tc>
          <w:tcPr>
            <w:tcW w:w="1217" w:type="dxa"/>
            <w:tcBorders>
              <w:top w:val="nil"/>
              <w:left w:val="nil"/>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kern w:val="2"/>
                <w:sz w:val="22"/>
                <w:szCs w:val="22"/>
                <w:u w:val="none"/>
                <w:lang w:val="en-US" w:eastAsia="zh-CN" w:bidi="ar-SA"/>
              </w:rPr>
            </w:pPr>
          </w:p>
        </w:tc>
        <w:tc>
          <w:tcPr>
            <w:tcW w:w="3517" w:type="dxa"/>
            <w:tcBorders>
              <w:top w:val="nil"/>
              <w:left w:val="nil"/>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kern w:val="2"/>
                <w:sz w:val="22"/>
                <w:szCs w:val="22"/>
                <w:u w:val="none"/>
                <w:lang w:val="en-US" w:eastAsia="zh-CN" w:bidi="ar-SA"/>
              </w:rPr>
            </w:pPr>
          </w:p>
        </w:tc>
        <w:tc>
          <w:tcPr>
            <w:tcW w:w="92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人员经费合计</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1,506.79</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公用经费合计</w:t>
            </w:r>
          </w:p>
        </w:tc>
        <w:tc>
          <w:tcPr>
            <w:tcW w:w="9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868.93</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宋体" w:hAnsi="宋体" w:eastAsia="宋体" w:cs="宋体"/>
          <w:kern w:val="0"/>
          <w:sz w:val="20"/>
          <w:szCs w:val="20"/>
          <w:lang w:val="en-US" w:eastAsia="zh-CN"/>
        </w:rPr>
        <w:t>蓝山县教育局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宋体" w:hAnsi="宋体" w:eastAsia="宋体" w:cs="宋体"/>
          <w:kern w:val="0"/>
          <w:sz w:val="20"/>
          <w:szCs w:val="20"/>
          <w:lang w:val="en-US" w:eastAsia="zh-CN"/>
        </w:rPr>
        <w:t>蓝山县教育局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pStyle w:val="8"/>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宋体" w:hAnsi="宋体" w:eastAsia="宋体" w:cs="宋体"/>
          <w:kern w:val="0"/>
          <w:sz w:val="20"/>
          <w:szCs w:val="20"/>
          <w:lang w:val="en-US" w:eastAsia="zh-CN"/>
        </w:rPr>
        <w:t>蓝山县教育局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6.3</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6.3</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5.99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5.99</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4298.32</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651.95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17.88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本年度人员经费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社保</w:t>
      </w:r>
      <w:r>
        <w:rPr>
          <w:rFonts w:hint="eastAsia" w:ascii="Times New Roman" w:hAnsi="Times New Roman" w:eastAsia="仿宋_GB2312" w:cs="Times New Roman"/>
          <w:sz w:val="32"/>
          <w:szCs w:val="32"/>
          <w:lang w:eastAsia="zh-CN"/>
        </w:rPr>
        <w:t>和项目资金</w:t>
      </w:r>
      <w:r>
        <w:rPr>
          <w:rFonts w:hint="eastAsia" w:ascii="Times New Roman" w:hAnsi="Times New Roman" w:eastAsia="仿宋_GB2312" w:cs="Times New Roman"/>
          <w:sz w:val="32"/>
          <w:szCs w:val="32"/>
        </w:rPr>
        <w:t>增加</w:t>
      </w:r>
      <w:r>
        <w:rPr>
          <w:rFonts w:hint="eastAsia" w:ascii="Times New Roman" w:hAnsi="Times New Roman" w:eastAsia="仿宋_GB2312" w:cs="Times New Roman"/>
          <w:sz w:val="32"/>
          <w:szCs w:val="32"/>
          <w:lang w:eastAsia="zh-CN"/>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4298.32</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4298.32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4298.32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2375.72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55.27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1922.6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44.73</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4298.32</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651.95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17.88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本年度人员经费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社保</w:t>
      </w:r>
      <w:r>
        <w:rPr>
          <w:rFonts w:hint="eastAsia" w:ascii="Times New Roman" w:hAnsi="Times New Roman" w:eastAsia="仿宋_GB2312" w:cs="Times New Roman"/>
          <w:sz w:val="32"/>
          <w:szCs w:val="32"/>
          <w:lang w:eastAsia="zh-CN"/>
        </w:rPr>
        <w:t>和项目资金</w:t>
      </w:r>
      <w:r>
        <w:rPr>
          <w:rFonts w:hint="eastAsia" w:ascii="Times New Roman" w:hAnsi="Times New Roman" w:eastAsia="仿宋_GB2312" w:cs="Times New Roman"/>
          <w:sz w:val="32"/>
          <w:szCs w:val="32"/>
        </w:rPr>
        <w:t>增加</w:t>
      </w:r>
      <w:r>
        <w:rPr>
          <w:rFonts w:hint="eastAsia" w:ascii="Times New Roman" w:hAnsi="Times New Roman" w:eastAsia="仿宋_GB2312" w:cs="Times New Roman"/>
          <w:sz w:val="32"/>
          <w:szCs w:val="32"/>
          <w:lang w:eastAsia="zh-CN"/>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4298.32</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651.95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17.88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本年度人员经费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社保</w:t>
      </w:r>
      <w:r>
        <w:rPr>
          <w:rFonts w:hint="eastAsia" w:ascii="Times New Roman" w:hAnsi="Times New Roman" w:eastAsia="仿宋_GB2312" w:cs="Times New Roman"/>
          <w:sz w:val="32"/>
          <w:szCs w:val="32"/>
          <w:lang w:eastAsia="zh-CN"/>
        </w:rPr>
        <w:t>和项目资金</w:t>
      </w:r>
      <w:r>
        <w:rPr>
          <w:rFonts w:hint="eastAsia" w:ascii="Times New Roman" w:hAnsi="Times New Roman" w:eastAsia="仿宋_GB2312" w:cs="Times New Roman"/>
          <w:sz w:val="32"/>
          <w:szCs w:val="32"/>
        </w:rPr>
        <w:t>增加</w:t>
      </w:r>
      <w:r>
        <w:rPr>
          <w:rFonts w:hint="eastAsia" w:ascii="Times New Roman" w:hAnsi="Times New Roman" w:eastAsia="仿宋_GB2312" w:cs="Times New Roman"/>
          <w:sz w:val="32"/>
          <w:szCs w:val="32"/>
          <w:lang w:eastAsia="zh-CN"/>
        </w:rPr>
        <w:t>。</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4298.32</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141.35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3.29</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rPr>
        <w:t>3920.11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文化旅游体育与传媒支出10.19万元，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0.24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社会保障和就业支出178.62万元，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4.16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卫生健康支出48.06万元</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1.12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10713.58</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4298.32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40.12</w:t>
      </w:r>
      <w:r>
        <w:rPr>
          <w:rFonts w:ascii="Times New Roman" w:hAnsi="Times New Roman" w:eastAsia="仿宋_GB2312" w:cs="Times New Roman"/>
          <w:sz w:val="32"/>
          <w:szCs w:val="32"/>
        </w:rPr>
        <w:t>%，其中：</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一般公共服务支出。</w:t>
      </w:r>
    </w:p>
    <w:p>
      <w:pPr>
        <w:pStyle w:val="15"/>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352.26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141.35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40.13</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决算数小于年初预算数的主要原因是：主要是因为</w:t>
      </w:r>
      <w:r>
        <w:rPr>
          <w:rFonts w:hint="eastAsia" w:ascii="Times New Roman" w:hAnsi="Times New Roman" w:eastAsia="仿宋_GB2312" w:cs="Times New Roman"/>
          <w:color w:val="auto"/>
          <w:sz w:val="32"/>
          <w:szCs w:val="32"/>
        </w:rPr>
        <w:t>基础建设减少，本年</w:t>
      </w:r>
      <w:r>
        <w:rPr>
          <w:rFonts w:hint="eastAsia" w:ascii="Times New Roman" w:hAnsi="Times New Roman" w:eastAsia="仿宋_GB2312" w:cs="Times New Roman"/>
          <w:color w:val="auto"/>
          <w:sz w:val="32"/>
          <w:szCs w:val="32"/>
          <w:lang w:eastAsia="zh-CN"/>
        </w:rPr>
        <w:t>收</w:t>
      </w:r>
      <w:r>
        <w:rPr>
          <w:rFonts w:hint="eastAsia" w:ascii="Times New Roman" w:hAnsi="Times New Roman" w:eastAsia="仿宋_GB2312" w:cs="Times New Roman"/>
          <w:color w:val="auto"/>
          <w:sz w:val="32"/>
          <w:szCs w:val="32"/>
        </w:rPr>
        <w:t>支出减少。</w:t>
      </w:r>
    </w:p>
    <w:p>
      <w:pPr>
        <w:pStyle w:val="15"/>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教育支出</w:t>
      </w:r>
      <w:r>
        <w:rPr>
          <w:rFonts w:ascii="Times New Roman" w:hAnsi="Times New Roman" w:eastAsia="仿宋_GB2312" w:cs="Times New Roman"/>
          <w:color w:val="auto"/>
          <w:sz w:val="32"/>
          <w:szCs w:val="32"/>
        </w:rPr>
        <w:t>。</w:t>
      </w:r>
    </w:p>
    <w:p>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sz w:val="32"/>
          <w:szCs w:val="32"/>
          <w:lang w:val="en-US" w:eastAsia="zh-CN"/>
        </w:rPr>
        <w:t>年初预算为 6833.98 万元，支出决算为 3920.11 万元，完成年初预算的 57.36 %，决算数与年初预算数减少的主要原因是：</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rPr>
        <w:t>基础建设减少，本年</w:t>
      </w:r>
      <w:r>
        <w:rPr>
          <w:rFonts w:hint="eastAsia" w:ascii="Times New Roman" w:hAnsi="Times New Roman" w:eastAsia="仿宋_GB2312" w:cs="Times New Roman"/>
          <w:color w:val="auto"/>
          <w:sz w:val="32"/>
          <w:szCs w:val="32"/>
          <w:lang w:eastAsia="zh-CN"/>
        </w:rPr>
        <w:t>收</w:t>
      </w:r>
      <w:r>
        <w:rPr>
          <w:rFonts w:hint="eastAsia" w:ascii="Times New Roman" w:hAnsi="Times New Roman" w:eastAsia="仿宋_GB2312" w:cs="Times New Roman"/>
          <w:color w:val="auto"/>
          <w:sz w:val="32"/>
          <w:szCs w:val="32"/>
        </w:rPr>
        <w:t>支出减少。</w:t>
      </w:r>
    </w:p>
    <w:p>
      <w:pPr>
        <w:pStyle w:val="15"/>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3、文化旅游体育与传媒支出。</w:t>
      </w:r>
    </w:p>
    <w:p>
      <w:pPr>
        <w:pStyle w:val="15"/>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 25.5 万元，支出决算为 10.19 万元，完成年初预算的 39.96 %，决算数与年初预算数减少的主要原因是：</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rPr>
        <w:t>基础建设减少，本年</w:t>
      </w:r>
      <w:r>
        <w:rPr>
          <w:rFonts w:hint="eastAsia" w:ascii="Times New Roman" w:hAnsi="Times New Roman" w:eastAsia="仿宋_GB2312" w:cs="Times New Roman"/>
          <w:color w:val="auto"/>
          <w:sz w:val="32"/>
          <w:szCs w:val="32"/>
          <w:lang w:eastAsia="zh-CN"/>
        </w:rPr>
        <w:t>收</w:t>
      </w:r>
      <w:r>
        <w:rPr>
          <w:rFonts w:hint="eastAsia" w:ascii="Times New Roman" w:hAnsi="Times New Roman" w:eastAsia="仿宋_GB2312" w:cs="Times New Roman"/>
          <w:color w:val="auto"/>
          <w:sz w:val="32"/>
          <w:szCs w:val="32"/>
        </w:rPr>
        <w:t>支出减少。</w:t>
      </w:r>
    </w:p>
    <w:p>
      <w:pPr>
        <w:pStyle w:val="15"/>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4、社会保障和就业支出。 </w:t>
      </w:r>
    </w:p>
    <w:p>
      <w:pPr>
        <w:pStyle w:val="15"/>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 445.15 万元，支出决算为 178.62 万元，完成年初预算的 40.13 %，决算数与年初预算数减少的主要原因是：</w:t>
      </w:r>
      <w:r>
        <w:rPr>
          <w:rFonts w:ascii="Times New Roman" w:hAnsi="Times New Roman" w:eastAsia="仿宋_GB2312" w:cs="Times New Roman"/>
          <w:color w:val="auto"/>
          <w:sz w:val="32"/>
          <w:szCs w:val="32"/>
        </w:rPr>
        <w:t>主要是</w:t>
      </w:r>
      <w:r>
        <w:rPr>
          <w:rFonts w:hint="eastAsia" w:ascii="Times New Roman" w:hAnsi="Times New Roman" w:eastAsia="仿宋_GB2312" w:cs="Times New Roman"/>
          <w:color w:val="auto"/>
          <w:sz w:val="32"/>
          <w:szCs w:val="32"/>
          <w:lang w:eastAsia="zh-CN"/>
        </w:rPr>
        <w:t>在职人数减幅少于新增与退休人数</w:t>
      </w:r>
      <w:r>
        <w:rPr>
          <w:rFonts w:hint="eastAsia" w:ascii="Times New Roman" w:hAnsi="Times New Roman" w:eastAsia="仿宋_GB2312" w:cs="Times New Roman"/>
          <w:color w:val="auto"/>
          <w:sz w:val="32"/>
          <w:szCs w:val="32"/>
        </w:rPr>
        <w:t>。</w:t>
      </w:r>
    </w:p>
    <w:p>
      <w:pPr>
        <w:pStyle w:val="15"/>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5、卫生健康支出。</w:t>
      </w:r>
    </w:p>
    <w:p>
      <w:pPr>
        <w:pStyle w:val="15"/>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 119.78 万元，支出决算为 48.06 万元，完成年初预算的 40.12 %，决算数与年初预算数减少的主要原因是：</w:t>
      </w:r>
      <w:r>
        <w:rPr>
          <w:rFonts w:ascii="Times New Roman" w:hAnsi="Times New Roman" w:eastAsia="仿宋_GB2312" w:cs="Times New Roman"/>
          <w:color w:val="auto"/>
          <w:sz w:val="32"/>
          <w:szCs w:val="32"/>
        </w:rPr>
        <w:t>主要是</w:t>
      </w:r>
      <w:r>
        <w:rPr>
          <w:rFonts w:hint="eastAsia" w:ascii="Times New Roman" w:hAnsi="Times New Roman" w:eastAsia="仿宋_GB2312" w:cs="Times New Roman"/>
          <w:color w:val="auto"/>
          <w:sz w:val="32"/>
          <w:szCs w:val="32"/>
          <w:lang w:eastAsia="zh-CN"/>
        </w:rPr>
        <w:t>在职人数减幅少于新增与退休人数</w:t>
      </w:r>
      <w:r>
        <w:rPr>
          <w:rFonts w:hint="eastAsia" w:ascii="Times New Roman" w:hAnsi="Times New Roman" w:eastAsia="仿宋_GB2312" w:cs="Times New Roman"/>
          <w:color w:val="auto"/>
          <w:sz w:val="32"/>
          <w:szCs w:val="32"/>
        </w:rPr>
        <w:t>。少。</w:t>
      </w:r>
    </w:p>
    <w:p>
      <w:pPr>
        <w:pStyle w:val="15"/>
        <w:spacing w:line="600" w:lineRule="exact"/>
        <w:ind w:firstLine="640" w:firstLineChars="200"/>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4298.32</w:t>
      </w:r>
      <w:r>
        <w:rPr>
          <w:rFonts w:ascii="Times New Roman" w:hAnsi="Times New Roman" w:eastAsia="仿宋_GB2312" w:cs="Times New Roman"/>
          <w:sz w:val="32"/>
          <w:szCs w:val="32"/>
        </w:rPr>
        <w:t>万元，其中：</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2726.19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63.42</w:t>
      </w:r>
      <w:r>
        <w:rPr>
          <w:rFonts w:ascii="Times New Roman" w:hAnsi="Times New Roman" w:eastAsia="仿宋_GB2312" w:cs="Times New Roman"/>
          <w:sz w:val="32"/>
          <w:szCs w:val="32"/>
        </w:rPr>
        <w:t>%,主要包括基本工资、津贴补贴、奖金、伙食补助费。</w:t>
      </w:r>
    </w:p>
    <w:p>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1572.13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36.58</w:t>
      </w:r>
      <w:r>
        <w:rPr>
          <w:rFonts w:ascii="Times New Roman" w:hAnsi="Times New Roman" w:eastAsia="仿宋_GB2312" w:cs="Times New Roman"/>
          <w:sz w:val="32"/>
          <w:szCs w:val="32"/>
        </w:rPr>
        <w:t>%，主要包括办公费、印刷费、咨询费、手续费。</w:t>
      </w:r>
    </w:p>
    <w:p>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6.3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5.99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95.08</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0.31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公务接待活动减少</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5"/>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减少（增长）的主要原因是</w:t>
      </w:r>
      <w:r>
        <w:rPr>
          <w:rFonts w:hint="eastAsia" w:ascii="Times New Roman" w:hAnsi="Times New Roman" w:eastAsia="仿宋_GB2312" w:cs="Times New Roman"/>
          <w:color w:val="auto"/>
          <w:sz w:val="32"/>
          <w:szCs w:val="32"/>
          <w:lang w:eastAsia="zh-CN"/>
        </w:rPr>
        <w:t>本单位无</w:t>
      </w:r>
      <w:r>
        <w:rPr>
          <w:rFonts w:ascii="Times New Roman" w:hAnsi="Times New Roman" w:eastAsia="仿宋_GB2312" w:cs="Times New Roman"/>
          <w:color w:val="auto"/>
          <w:sz w:val="32"/>
          <w:szCs w:val="32"/>
        </w:rPr>
        <w:t>因公出国（境）费支出。</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减少（增长）的主要原因是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公务用车购置费及运行维护费支出。</w:t>
      </w:r>
    </w:p>
    <w:p>
      <w:pPr>
        <w:pStyle w:val="15"/>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6.3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5.99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95.08</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8.08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57.42</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公务接待活动减少</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厉行节约，减少公务接待活动</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86</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682</w:t>
      </w:r>
      <w:r>
        <w:rPr>
          <w:rFonts w:ascii="Times New Roman" w:hAnsi="Times New Roman" w:eastAsia="仿宋_GB2312" w:cs="Times New Roman"/>
          <w:sz w:val="32"/>
          <w:szCs w:val="32"/>
        </w:rPr>
        <w:t>人次</w:t>
      </w:r>
      <w:r>
        <w:rPr>
          <w:rFonts w:hint="eastAsia" w:ascii="Times New Roman" w:hAnsi="Times New Roman" w:eastAsia="楷体_GB2312" w:cs="Times New Roman"/>
          <w:b/>
          <w:bCs/>
          <w:i/>
          <w:color w:val="auto"/>
          <w:sz w:val="32"/>
          <w:szCs w:val="32"/>
          <w:lang w:eastAsia="zh-CN"/>
        </w:rPr>
        <w:t>，</w:t>
      </w:r>
      <w:r>
        <w:rPr>
          <w:rFonts w:ascii="Times New Roman" w:hAnsi="Times New Roman" w:eastAsia="仿宋_GB2312" w:cs="Times New Roman"/>
          <w:color w:val="auto"/>
          <w:sz w:val="32"/>
          <w:szCs w:val="32"/>
        </w:rPr>
        <w:t>主要是</w:t>
      </w:r>
      <w:r>
        <w:rPr>
          <w:rFonts w:hint="eastAsia" w:ascii="Times New Roman" w:hAnsi="Times New Roman" w:eastAsia="仿宋_GB2312" w:cs="Times New Roman"/>
          <w:color w:val="auto"/>
          <w:sz w:val="32"/>
          <w:szCs w:val="32"/>
          <w:lang w:eastAsia="zh-CN"/>
        </w:rPr>
        <w:t>县域区间交流及考务巡视支出</w:t>
      </w:r>
      <w:r>
        <w:rPr>
          <w:rFonts w:ascii="Times New Roman" w:hAnsi="Times New Roman" w:eastAsia="仿宋_GB2312" w:cs="Times New Roman"/>
          <w:color w:val="auto"/>
          <w:sz w:val="32"/>
          <w:szCs w:val="32"/>
        </w:rPr>
        <w:t>发生的接待支出。</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5"/>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2024</w:t>
      </w:r>
      <w:r>
        <w:rPr>
          <w:rFonts w:ascii="Times New Roman" w:hAnsi="Times New Roman" w:eastAsia="仿宋_GB2312" w:cs="Times New Roman"/>
          <w:color w:val="auto"/>
          <w:sz w:val="32"/>
          <w:szCs w:val="32"/>
        </w:rPr>
        <w:t>年度本单位无政府性基金收支</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spacing w:line="600" w:lineRule="exact"/>
        <w:ind w:firstLine="640" w:firstLineChars="200"/>
        <w:rPr>
          <w:rFonts w:hint="default" w:eastAsia="仿宋_GB2312"/>
          <w:kern w:val="0"/>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1178.28</w:t>
      </w:r>
      <w:r>
        <w:rPr>
          <w:rFonts w:ascii="Times New Roman" w:hAnsi="Times New Roman" w:eastAsia="仿宋_GB2312" w:cs="Times New Roman"/>
          <w:sz w:val="32"/>
          <w:szCs w:val="32"/>
        </w:rPr>
        <w:t>万元，比年初预算数</w:t>
      </w:r>
      <w:r>
        <w:rPr>
          <w:rFonts w:hint="eastAsia" w:ascii="Times New Roman" w:hAnsi="Times New Roman" w:eastAsia="仿宋_GB2312" w:cs="Times New Roman"/>
          <w:sz w:val="32"/>
          <w:szCs w:val="32"/>
        </w:rPr>
        <w:t>1330.83</w:t>
      </w:r>
      <w:r>
        <w:rPr>
          <w:rFonts w:ascii="Times New Roman" w:hAnsi="Times New Roman" w:eastAsia="仿宋_GB2312" w:cs="Times New Roman"/>
          <w:sz w:val="32"/>
          <w:szCs w:val="32"/>
        </w:rPr>
        <w:t>万元，减少</w:t>
      </w:r>
      <w:r>
        <w:rPr>
          <w:rFonts w:hint="eastAsia" w:ascii="Times New Roman" w:hAnsi="Times New Roman" w:eastAsia="仿宋_GB2312" w:cs="Times New Roman"/>
          <w:sz w:val="32"/>
          <w:szCs w:val="32"/>
          <w:lang w:val="en-US" w:eastAsia="zh-CN"/>
        </w:rPr>
        <w:t>152.55</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12.95</w:t>
      </w:r>
      <w:r>
        <w:rPr>
          <w:rFonts w:ascii="Times New Roman" w:hAnsi="Times New Roman" w:eastAsia="仿宋_GB2312" w:cs="Times New Roman"/>
          <w:sz w:val="32"/>
          <w:szCs w:val="32"/>
        </w:rPr>
        <w:t>%。</w:t>
      </w:r>
      <w:r>
        <w:rPr>
          <w:rFonts w:hint="eastAsia" w:eastAsia="仿宋_GB2312"/>
          <w:kern w:val="0"/>
          <w:sz w:val="32"/>
          <w:szCs w:val="32"/>
          <w:lang w:val="en-US" w:eastAsia="zh-CN"/>
        </w:rPr>
        <w:t>因业务活动需要，本年度机关运行经费减少。</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5"/>
        <w:overflowPunct w:val="0"/>
        <w:autoSpaceDE/>
        <w:autoSpaceDN/>
        <w:spacing w:line="600" w:lineRule="exact"/>
        <w:ind w:firstLine="640" w:firstLineChars="200"/>
        <w:jc w:val="both"/>
        <w:rPr>
          <w:rFonts w:eastAsia="仿宋_GB2312"/>
          <w:kern w:val="0"/>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rPr>
        <w:t>7.41</w:t>
      </w:r>
      <w:r>
        <w:rPr>
          <w:rFonts w:ascii="Times New Roman" w:hAnsi="Times New Roman" w:eastAsia="仿宋_GB2312" w:cs="Times New Roman"/>
          <w:sz w:val="32"/>
          <w:szCs w:val="32"/>
        </w:rPr>
        <w:t>万元，</w:t>
      </w:r>
      <w:r>
        <w:rPr>
          <w:rFonts w:eastAsia="仿宋_GB2312"/>
          <w:kern w:val="0"/>
          <w:sz w:val="32"/>
          <w:szCs w:val="32"/>
        </w:rPr>
        <w:t>用于召开</w:t>
      </w:r>
      <w:r>
        <w:rPr>
          <w:rFonts w:hint="eastAsia" w:eastAsia="仿宋_GB2312"/>
          <w:kern w:val="0"/>
          <w:sz w:val="32"/>
          <w:szCs w:val="32"/>
          <w:lang w:eastAsia="zh-CN"/>
        </w:rPr>
        <w:t>各种紧急</w:t>
      </w:r>
      <w:r>
        <w:rPr>
          <w:rFonts w:eastAsia="仿宋_GB2312"/>
          <w:kern w:val="0"/>
          <w:sz w:val="32"/>
          <w:szCs w:val="32"/>
        </w:rPr>
        <w:t>会议，</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1925</w:t>
      </w:r>
      <w:r>
        <w:rPr>
          <w:rFonts w:ascii="Times New Roman" w:hAnsi="Times New Roman" w:eastAsia="仿宋_GB2312" w:cs="Times New Roman"/>
          <w:sz w:val="32"/>
          <w:szCs w:val="32"/>
        </w:rPr>
        <w:t>人，</w:t>
      </w:r>
      <w:r>
        <w:rPr>
          <w:rFonts w:eastAsia="仿宋_GB2312"/>
          <w:kern w:val="0"/>
          <w:sz w:val="32"/>
          <w:szCs w:val="32"/>
        </w:rPr>
        <w:t>内容为</w:t>
      </w:r>
      <w:r>
        <w:rPr>
          <w:rFonts w:hint="eastAsia" w:eastAsia="仿宋_GB2312"/>
          <w:kern w:val="0"/>
          <w:sz w:val="32"/>
          <w:szCs w:val="32"/>
          <w:lang w:eastAsia="zh-CN"/>
        </w:rPr>
        <w:t>召开学校工作安排会议</w:t>
      </w:r>
      <w:r>
        <w:rPr>
          <w:rFonts w:eastAsia="仿宋_GB2312"/>
          <w:kern w:val="0"/>
          <w:sz w:val="32"/>
          <w:szCs w:val="32"/>
        </w:rPr>
        <w:t>；</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rPr>
        <w:t>42.83</w:t>
      </w:r>
      <w:r>
        <w:rPr>
          <w:rFonts w:ascii="Times New Roman" w:hAnsi="Times New Roman" w:eastAsia="仿宋_GB2312" w:cs="Times New Roman"/>
          <w:sz w:val="32"/>
          <w:szCs w:val="32"/>
        </w:rPr>
        <w:t>万元，</w:t>
      </w:r>
      <w:r>
        <w:rPr>
          <w:rFonts w:eastAsia="仿宋_GB2312"/>
          <w:kern w:val="0"/>
          <w:sz w:val="32"/>
          <w:szCs w:val="32"/>
        </w:rPr>
        <w:t>用于开展</w:t>
      </w:r>
      <w:r>
        <w:rPr>
          <w:rFonts w:hint="eastAsia" w:eastAsia="仿宋_GB2312"/>
          <w:kern w:val="0"/>
          <w:sz w:val="32"/>
          <w:szCs w:val="32"/>
          <w:lang w:eastAsia="zh-CN"/>
        </w:rPr>
        <w:t>各类教师</w:t>
      </w:r>
      <w:r>
        <w:rPr>
          <w:rFonts w:eastAsia="仿宋_GB2312"/>
          <w:kern w:val="0"/>
          <w:sz w:val="32"/>
          <w:szCs w:val="32"/>
        </w:rPr>
        <w:t>培训</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551</w:t>
      </w:r>
      <w:r>
        <w:rPr>
          <w:rFonts w:ascii="Times New Roman" w:hAnsi="Times New Roman" w:eastAsia="仿宋_GB2312" w:cs="Times New Roman"/>
          <w:sz w:val="32"/>
          <w:szCs w:val="32"/>
        </w:rPr>
        <w:t>人，内容为</w:t>
      </w:r>
      <w:r>
        <w:rPr>
          <w:rFonts w:eastAsia="仿宋_GB2312"/>
          <w:kern w:val="0"/>
          <w:sz w:val="32"/>
          <w:szCs w:val="32"/>
        </w:rPr>
        <w:t>用于开展</w:t>
      </w:r>
      <w:r>
        <w:rPr>
          <w:rFonts w:hint="eastAsia" w:eastAsia="仿宋_GB2312"/>
          <w:kern w:val="0"/>
          <w:sz w:val="32"/>
          <w:szCs w:val="32"/>
          <w:lang w:eastAsia="zh-CN"/>
        </w:rPr>
        <w:t>各类教师</w:t>
      </w:r>
      <w:r>
        <w:rPr>
          <w:rFonts w:eastAsia="仿宋_GB2312"/>
          <w:kern w:val="0"/>
          <w:sz w:val="32"/>
          <w:szCs w:val="32"/>
        </w:rPr>
        <w:t>培训</w:t>
      </w:r>
      <w:r>
        <w:rPr>
          <w:rFonts w:ascii="Times New Roman" w:hAnsi="Times New Roman" w:eastAsia="仿宋_GB2312" w:cs="Times New Roman"/>
          <w:sz w:val="32"/>
          <w:szCs w:val="32"/>
        </w:rPr>
        <w:t>；</w:t>
      </w:r>
      <w:r>
        <w:rPr>
          <w:rFonts w:eastAsia="仿宋_GB2312"/>
          <w:kern w:val="0"/>
          <w:sz w:val="32"/>
          <w:szCs w:val="32"/>
        </w:rPr>
        <w:t>举办</w:t>
      </w:r>
      <w:r>
        <w:rPr>
          <w:rFonts w:hint="eastAsia" w:eastAsia="仿宋_GB2312"/>
          <w:kern w:val="0"/>
          <w:sz w:val="32"/>
          <w:szCs w:val="32"/>
          <w:lang w:eastAsia="zh-CN"/>
        </w:rPr>
        <w:t>国庆中秋</w:t>
      </w:r>
      <w:r>
        <w:rPr>
          <w:rFonts w:eastAsia="仿宋_GB2312"/>
          <w:kern w:val="0"/>
          <w:sz w:val="32"/>
          <w:szCs w:val="32"/>
        </w:rPr>
        <w:t>等节庆、晚会、论坛、赛事活动</w:t>
      </w:r>
      <w:r>
        <w:rPr>
          <w:rFonts w:ascii="Times New Roman" w:hAnsi="Times New Roman" w:eastAsia="仿宋_GB2312" w:cs="Times New Roman"/>
          <w:sz w:val="32"/>
          <w:szCs w:val="32"/>
        </w:rPr>
        <w:t>，开支</w:t>
      </w:r>
      <w:r>
        <w:rPr>
          <w:rFonts w:hint="eastAsia" w:ascii="Times New Roman" w:hAnsi="Times New Roman" w:eastAsia="仿宋_GB2312" w:cs="Times New Roman"/>
          <w:sz w:val="32"/>
          <w:szCs w:val="32"/>
          <w:lang w:val="en-US" w:eastAsia="zh-CN"/>
        </w:rPr>
        <w:t>59.14</w:t>
      </w:r>
      <w:r>
        <w:rPr>
          <w:rFonts w:ascii="Times New Roman" w:hAnsi="Times New Roman" w:eastAsia="仿宋_GB2312" w:cs="Times New Roman"/>
          <w:sz w:val="32"/>
          <w:szCs w:val="32"/>
        </w:rPr>
        <w:t>万元，</w:t>
      </w:r>
      <w:r>
        <w:rPr>
          <w:rFonts w:eastAsia="仿宋_GB2312"/>
          <w:kern w:val="0"/>
          <w:sz w:val="32"/>
          <w:szCs w:val="32"/>
        </w:rPr>
        <w:t>主要是</w:t>
      </w:r>
      <w:r>
        <w:rPr>
          <w:rFonts w:hint="eastAsia" w:eastAsia="仿宋_GB2312"/>
          <w:kern w:val="0"/>
          <w:sz w:val="32"/>
          <w:szCs w:val="32"/>
          <w:lang w:eastAsia="zh-CN"/>
        </w:rPr>
        <w:t>春节</w:t>
      </w:r>
      <w:r>
        <w:rPr>
          <w:rFonts w:hint="eastAsia" w:eastAsia="仿宋_GB2312"/>
          <w:kern w:val="0"/>
          <w:sz w:val="32"/>
          <w:szCs w:val="32"/>
          <w:lang w:val="en-US" w:eastAsia="zh-CN"/>
        </w:rPr>
        <w:t>3.72</w:t>
      </w:r>
      <w:r>
        <w:rPr>
          <w:rFonts w:hint="eastAsia" w:eastAsia="仿宋_GB2312"/>
          <w:kern w:val="0"/>
          <w:sz w:val="32"/>
          <w:szCs w:val="32"/>
          <w:lang w:eastAsia="zh-CN"/>
        </w:rPr>
        <w:t>万元；三八节</w:t>
      </w:r>
      <w:r>
        <w:rPr>
          <w:rFonts w:hint="eastAsia" w:eastAsia="仿宋_GB2312"/>
          <w:kern w:val="0"/>
          <w:sz w:val="32"/>
          <w:szCs w:val="32"/>
          <w:lang w:val="en-US" w:eastAsia="zh-CN"/>
        </w:rPr>
        <w:t>2.5万</w:t>
      </w:r>
      <w:r>
        <w:rPr>
          <w:rFonts w:hint="eastAsia" w:eastAsia="仿宋_GB2312"/>
          <w:kern w:val="0"/>
          <w:sz w:val="32"/>
          <w:szCs w:val="32"/>
          <w:lang w:eastAsia="zh-CN"/>
        </w:rPr>
        <w:t>；五一</w:t>
      </w:r>
      <w:r>
        <w:rPr>
          <w:rFonts w:hint="eastAsia" w:eastAsia="仿宋_GB2312"/>
          <w:kern w:val="0"/>
          <w:sz w:val="32"/>
          <w:szCs w:val="32"/>
          <w:lang w:val="en-US" w:eastAsia="zh-CN"/>
        </w:rPr>
        <w:t>3</w:t>
      </w:r>
      <w:r>
        <w:rPr>
          <w:rFonts w:hint="eastAsia" w:eastAsia="仿宋_GB2312"/>
          <w:kern w:val="0"/>
          <w:sz w:val="32"/>
          <w:szCs w:val="32"/>
          <w:lang w:eastAsia="zh-CN"/>
        </w:rPr>
        <w:t>万元</w:t>
      </w:r>
      <w:r>
        <w:rPr>
          <w:rFonts w:hint="eastAsia" w:eastAsia="仿宋_GB2312"/>
          <w:kern w:val="0"/>
          <w:sz w:val="32"/>
          <w:szCs w:val="32"/>
          <w:lang w:val="en-US" w:eastAsia="zh-CN"/>
        </w:rPr>
        <w:t>;端午节3</w:t>
      </w:r>
      <w:r>
        <w:rPr>
          <w:rFonts w:hint="eastAsia" w:eastAsia="仿宋_GB2312"/>
          <w:kern w:val="0"/>
          <w:sz w:val="32"/>
          <w:szCs w:val="32"/>
          <w:lang w:eastAsia="zh-CN"/>
        </w:rPr>
        <w:t>万元；中秋节</w:t>
      </w:r>
      <w:r>
        <w:rPr>
          <w:rFonts w:hint="eastAsia" w:eastAsia="仿宋_GB2312"/>
          <w:kern w:val="0"/>
          <w:sz w:val="32"/>
          <w:szCs w:val="32"/>
          <w:lang w:val="en-US" w:eastAsia="zh-CN"/>
        </w:rPr>
        <w:t>3</w:t>
      </w:r>
      <w:r>
        <w:rPr>
          <w:rFonts w:hint="eastAsia" w:eastAsia="仿宋_GB2312"/>
          <w:kern w:val="0"/>
          <w:sz w:val="32"/>
          <w:szCs w:val="32"/>
          <w:lang w:eastAsia="zh-CN"/>
        </w:rPr>
        <w:t>万元；国庆节</w:t>
      </w:r>
      <w:r>
        <w:rPr>
          <w:rFonts w:hint="eastAsia" w:eastAsia="仿宋_GB2312"/>
          <w:kern w:val="0"/>
          <w:sz w:val="32"/>
          <w:szCs w:val="32"/>
          <w:lang w:val="en-US" w:eastAsia="zh-CN"/>
        </w:rPr>
        <w:t>3</w:t>
      </w:r>
      <w:r>
        <w:rPr>
          <w:rFonts w:hint="eastAsia" w:eastAsia="仿宋_GB2312"/>
          <w:kern w:val="0"/>
          <w:sz w:val="32"/>
          <w:szCs w:val="32"/>
          <w:lang w:eastAsia="zh-CN"/>
        </w:rPr>
        <w:t>万元；元旦</w:t>
      </w:r>
      <w:r>
        <w:rPr>
          <w:rFonts w:hint="eastAsia" w:eastAsia="仿宋_GB2312"/>
          <w:kern w:val="0"/>
          <w:sz w:val="32"/>
          <w:szCs w:val="32"/>
          <w:lang w:val="en-US" w:eastAsia="zh-CN"/>
        </w:rPr>
        <w:t>6.5</w:t>
      </w:r>
      <w:r>
        <w:rPr>
          <w:rFonts w:hint="eastAsia" w:eastAsia="仿宋_GB2312"/>
          <w:kern w:val="0"/>
          <w:sz w:val="32"/>
          <w:szCs w:val="32"/>
          <w:lang w:eastAsia="zh-CN"/>
        </w:rPr>
        <w:t>万元；其他活动经费和付总工会经费</w:t>
      </w:r>
      <w:r>
        <w:rPr>
          <w:rFonts w:hint="eastAsia" w:eastAsia="仿宋_GB2312"/>
          <w:kern w:val="0"/>
          <w:sz w:val="32"/>
          <w:szCs w:val="32"/>
          <w:lang w:val="en-US" w:eastAsia="zh-CN"/>
        </w:rPr>
        <w:t>34.42万元</w:t>
      </w:r>
      <w:r>
        <w:rPr>
          <w:rFonts w:eastAsia="仿宋_GB2312"/>
          <w:kern w:val="0"/>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rPr>
        <w:t>390.92</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rPr>
        <w:t>113.37</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rPr>
        <w:t>31.4</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246.15</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336.9</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rPr>
        <w:t>86.18</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310.08</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rPr>
        <w:t>79.32</w:t>
      </w:r>
      <w:r>
        <w:rPr>
          <w:rFonts w:ascii="Times New Roman" w:hAnsi="Times New Roman" w:eastAsia="仿宋_GB2312" w:cs="Times New Roman"/>
          <w:color w:val="auto"/>
          <w:sz w:val="32"/>
          <w:szCs w:val="32"/>
        </w:rPr>
        <w:t>%。</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辆，其他用车主要是</w:t>
      </w:r>
      <w:r>
        <w:rPr>
          <w:rFonts w:hint="eastAsia" w:eastAsia="仿宋_GB2312"/>
          <w:kern w:val="0"/>
          <w:sz w:val="32"/>
          <w:szCs w:val="32"/>
          <w:lang w:eastAsia="zh-CN"/>
        </w:rPr>
        <w:t>无</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p>
    <w:p>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20</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rPr>
        <w:t>4298.32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1922.6</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44.73</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组织对所属单位2024年度开展了部门评价，涉及一般公共预算支出</w:t>
      </w:r>
      <w:r>
        <w:rPr>
          <w:rFonts w:hint="eastAsia" w:ascii="Times New Roman" w:hAnsi="Times New Roman" w:eastAsia="仿宋_GB2312" w:cs="Times New Roman"/>
          <w:kern w:val="0"/>
          <w:sz w:val="32"/>
          <w:szCs w:val="32"/>
        </w:rPr>
        <w:t>4298.32</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pPr>
        <w:overflowPunct w:val="0"/>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6651.86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4298.32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64.62</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65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2993.34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1922.6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64.23</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64</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w:t>
      </w:r>
    </w:p>
    <w:p>
      <w:pPr>
        <w:pStyle w:val="15"/>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pPr>
        <w:pStyle w:val="10"/>
        <w:keepNext w:val="0"/>
        <w:keepLines w:val="0"/>
        <w:widowControl/>
        <w:suppressLineNumbers w:val="0"/>
        <w:spacing w:before="0" w:beforeLines="0" w:beforeAutospacing="0" w:after="0" w:afterLines="0" w:afterAutospacing="0" w:line="33" w:lineRule="atLeast"/>
        <w:ind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本年度</w:t>
      </w:r>
      <w:r>
        <w:rPr>
          <w:rFonts w:hint="eastAsia" w:ascii="仿宋_GB2312" w:hAnsi="仿宋_GB2312" w:eastAsia="仿宋_GB2312" w:cs="仿宋_GB2312"/>
          <w:sz w:val="32"/>
          <w:szCs w:val="32"/>
          <w:lang w:val="en-US" w:eastAsia="zh-CN"/>
        </w:rPr>
        <w:t>我单位将</w:t>
      </w:r>
      <w:r>
        <w:rPr>
          <w:rFonts w:hint="eastAsia" w:ascii="仿宋_GB2312" w:hAnsi="仿宋_GB2312" w:eastAsia="仿宋_GB2312" w:cs="仿宋_GB2312"/>
          <w:sz w:val="32"/>
          <w:szCs w:val="32"/>
        </w:rPr>
        <w:t>进一步完善财务管理运行机制、建立科学化、精细化的预决算管理制度、加快财务监督建设、提高经费使用效益、强化财务风险管理。</w:t>
      </w:r>
    </w:p>
    <w:p>
      <w:pPr>
        <w:pStyle w:val="10"/>
        <w:keepNext w:val="0"/>
        <w:keepLines w:val="0"/>
        <w:widowControl/>
        <w:suppressLineNumbers w:val="0"/>
        <w:spacing w:before="0" w:beforeLines="0" w:beforeAutospacing="0" w:after="0" w:afterLines="0" w:afterAutospacing="0" w:line="33" w:lineRule="atLeast"/>
        <w:ind w:righ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2、招贤纳士，根据各部门业务内容和范围，加派相关专业人士负责相关业务，让专人做专事，提高业务处理效率。</w:t>
      </w:r>
    </w:p>
    <w:p>
      <w:pPr>
        <w:pStyle w:val="10"/>
        <w:keepNext w:val="0"/>
        <w:keepLines w:val="0"/>
        <w:widowControl/>
        <w:suppressLineNumbers w:val="0"/>
        <w:spacing w:before="0" w:beforeLines="0" w:beforeAutospacing="0" w:after="0" w:afterLines="0" w:afterAutospacing="0" w:line="33" w:lineRule="atLeast"/>
        <w:ind w:right="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3、积极参加各类业务培训，加强从业人员素质和业务水平。</w:t>
      </w:r>
    </w:p>
    <w:p>
      <w:pPr>
        <w:pStyle w:val="15"/>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p>
    <w:p>
      <w:pPr>
        <w:pStyle w:val="15"/>
        <w:jc w:val="center"/>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rPr>
          <w:rFonts w:hint="eastAsia" w:ascii="宋体" w:hAnsi="宋体" w:cs="黑体"/>
          <w:color w:val="000000"/>
          <w:kern w:val="0"/>
          <w:sz w:val="32"/>
          <w:szCs w:val="32"/>
        </w:rPr>
      </w:pPr>
      <w:r>
        <w:rPr>
          <w:rFonts w:eastAsia="仿宋_GB2312"/>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ind w:firstLine="640" w:firstLineChars="200"/>
        <w:jc w:val="left"/>
        <w:rPr>
          <w:rFonts w:hint="eastAsia"/>
        </w:rPr>
      </w:pPr>
      <w:r>
        <w:rPr>
          <w:rFonts w:hint="eastAsia" w:ascii="宋体" w:hAnsi="宋体" w:cs="黑体"/>
          <w:color w:val="000000"/>
          <w:kern w:val="0"/>
          <w:sz w:val="32"/>
          <w:szCs w:val="32"/>
        </w:rPr>
        <w:t>……</w:t>
      </w: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5"/>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2024年度部门(单位)整体支出绩效自评报告。</w:t>
      </w:r>
    </w:p>
    <w:p>
      <w:pPr>
        <w:numPr>
          <w:ilvl w:val="0"/>
          <w:numId w:val="1"/>
        </w:numPr>
        <w:snapToGrid w:val="0"/>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lang w:val="en-US" w:eastAsia="zh-CN"/>
        </w:rPr>
        <w:t>效益</w:t>
      </w:r>
      <w:r>
        <w:rPr>
          <w:rFonts w:hint="eastAsia" w:ascii="仿宋_GB2312" w:hAnsi="仿宋_GB2312" w:eastAsia="仿宋_GB2312" w:cs="仿宋_GB2312"/>
          <w:b/>
          <w:bCs/>
          <w:sz w:val="30"/>
          <w:szCs w:val="30"/>
        </w:rPr>
        <w:t>性</w:t>
      </w:r>
      <w:r>
        <w:rPr>
          <w:rFonts w:hint="eastAsia" w:ascii="仿宋_GB2312" w:hAnsi="仿宋_GB2312" w:eastAsia="仿宋_GB2312" w:cs="仿宋_GB2312"/>
          <w:b/>
          <w:bCs/>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
          <w:color w:val="auto"/>
          <w:sz w:val="32"/>
          <w:szCs w:val="32"/>
        </w:rPr>
      </w:pPr>
      <w:r>
        <w:rPr>
          <w:rFonts w:ascii="仿宋_GB2312" w:eastAsia="仿宋_GB2312" w:cs="仿宋"/>
          <w:color w:val="auto"/>
          <w:sz w:val="32"/>
          <w:szCs w:val="32"/>
        </w:rPr>
        <w:t>2024年</w:t>
      </w:r>
      <w:r>
        <w:rPr>
          <w:rFonts w:hint="eastAsia" w:ascii="仿宋_GB2312" w:eastAsia="仿宋_GB2312" w:cs="仿宋"/>
          <w:color w:val="auto"/>
          <w:sz w:val="32"/>
          <w:szCs w:val="32"/>
        </w:rPr>
        <w:t>，我们深入学习贯彻</w:t>
      </w:r>
      <w:r>
        <w:rPr>
          <w:rFonts w:hint="eastAsia" w:ascii="仿宋_GB2312" w:eastAsia="仿宋_GB2312" w:cs="楷体_GB2312"/>
          <w:color w:val="auto"/>
          <w:sz w:val="32"/>
          <w:szCs w:val="32"/>
        </w:rPr>
        <w:t>党的二十大、二十届</w:t>
      </w:r>
      <w:r>
        <w:rPr>
          <w:rFonts w:ascii="仿宋_GB2312" w:eastAsia="仿宋_GB2312" w:cs="楷体_GB2312"/>
          <w:color w:val="auto"/>
          <w:sz w:val="32"/>
          <w:szCs w:val="32"/>
        </w:rPr>
        <w:t>三</w:t>
      </w:r>
      <w:r>
        <w:rPr>
          <w:rFonts w:hint="eastAsia" w:ascii="仿宋_GB2312" w:eastAsia="仿宋_GB2312" w:cs="楷体_GB2312"/>
          <w:color w:val="auto"/>
          <w:sz w:val="32"/>
          <w:szCs w:val="32"/>
        </w:rPr>
        <w:t>中全会和全国教育大会精神，</w:t>
      </w:r>
      <w:r>
        <w:rPr>
          <w:rFonts w:hint="eastAsia" w:ascii="仿宋_GB2312" w:eastAsia="仿宋_GB2312" w:cs="仿宋"/>
          <w:color w:val="auto"/>
          <w:sz w:val="32"/>
          <w:szCs w:val="32"/>
        </w:rPr>
        <w:t>在县委、县政府</w:t>
      </w:r>
      <w:r>
        <w:rPr>
          <w:rFonts w:ascii="仿宋_GB2312" w:eastAsia="仿宋_GB2312" w:cs="仿宋"/>
          <w:color w:val="auto"/>
          <w:sz w:val="32"/>
          <w:szCs w:val="32"/>
        </w:rPr>
        <w:t>的坚强领导</w:t>
      </w:r>
      <w:r>
        <w:rPr>
          <w:rFonts w:hint="eastAsia" w:ascii="仿宋_GB2312" w:eastAsia="仿宋_GB2312" w:cs="仿宋"/>
          <w:color w:val="auto"/>
          <w:sz w:val="32"/>
          <w:szCs w:val="32"/>
        </w:rPr>
        <w:t>下，继续深入推进教育强县三年攻坚行动，统筹教育发展和校园安全两件大事，</w:t>
      </w:r>
      <w:r>
        <w:rPr>
          <w:rFonts w:hint="eastAsia" w:ascii="仿宋_GB2312" w:eastAsia="仿宋_GB2312" w:cs="楷体_GB2312"/>
          <w:color w:val="auto"/>
          <w:sz w:val="32"/>
          <w:szCs w:val="32"/>
        </w:rPr>
        <w:t>凝心聚力，狠抓落实，扎实推进</w:t>
      </w:r>
      <w:r>
        <w:rPr>
          <w:rFonts w:ascii="仿宋_GB2312" w:eastAsia="仿宋_GB2312" w:cs="楷体_GB2312"/>
          <w:color w:val="auto"/>
          <w:sz w:val="32"/>
          <w:szCs w:val="32"/>
        </w:rPr>
        <w:t>教育高质量发展</w:t>
      </w:r>
      <w:r>
        <w:rPr>
          <w:rFonts w:asci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1.获评湖南省劳动教育实验区（每个市州评一个）。</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2.积极创建全省特教融合创建示范县区，专家评审已入围（2024年全省评7个县区，待省教育厅认定下文）。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3.县域普通高中“徐特立项目”2024年5月全面投入使用，在全省率先交出这份优秀的民生答卷；省教育厅、省财政厅、省住建厅牵头考评，获全市第一名，争取奖补资金485万，为全市第一、居全省前列。</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4.获评</w:t>
      </w:r>
      <w:r>
        <w:rPr>
          <w:rFonts w:hint="eastAsia" w:ascii="仿宋_GB2312" w:hAnsi="仿宋_GB2312" w:eastAsia="仿宋_GB2312" w:cs="仿宋_GB2312"/>
          <w:color w:val="auto"/>
          <w:kern w:val="28"/>
          <w:sz w:val="32"/>
          <w:szCs w:val="32"/>
        </w:rPr>
        <w:t>全省</w:t>
      </w:r>
      <w:r>
        <w:rPr>
          <w:rFonts w:hint="eastAsia" w:ascii="仿宋_GB2312" w:hAnsi="仿宋_GB2312" w:eastAsia="仿宋_GB2312" w:cs="仿宋_GB2312"/>
          <w:color w:val="auto"/>
          <w:sz w:val="32"/>
          <w:szCs w:val="32"/>
        </w:rPr>
        <w:t>生源地信用助学贷款工作优秀单位（连续第6年获评）。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楷体_GB2312"/>
          <w:color w:val="auto"/>
          <w:kern w:val="0"/>
          <w:sz w:val="32"/>
          <w:szCs w:val="32"/>
        </w:rPr>
      </w:pPr>
      <w:r>
        <w:rPr>
          <w:rFonts w:hint="eastAsia" w:ascii="仿宋_GB2312" w:hAnsi="仿宋_GB2312" w:eastAsia="仿宋_GB2312" w:cs="仿宋_GB2312"/>
          <w:color w:val="auto"/>
          <w:kern w:val="28"/>
          <w:sz w:val="32"/>
          <w:szCs w:val="32"/>
        </w:rPr>
        <w:t>5</w:t>
      </w:r>
      <w:r>
        <w:rPr>
          <w:rFonts w:hint="eastAsia" w:ascii="仿宋_GB2312" w:eastAsia="仿宋_GB2312" w:cs="楷体_GB2312"/>
          <w:color w:val="auto"/>
          <w:kern w:val="0"/>
          <w:sz w:val="32"/>
          <w:szCs w:val="32"/>
        </w:rPr>
        <w:t>.校外培训“双减”工作经验教育部“双减”改革每日快报推介1次；全省“双减”改革每周快报推介3次；湖南教育快讯推介1次；教育新闻宣传工作保持全市第一。</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6.普通高中学业水平合格性考试一次性考试合格率进入全市第四。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8"/>
          <w:sz w:val="32"/>
          <w:szCs w:val="32"/>
        </w:rPr>
        <w:t>7.</w:t>
      </w:r>
      <w:r>
        <w:rPr>
          <w:rFonts w:hint="eastAsia" w:ascii="仿宋_GB2312" w:eastAsia="仿宋_GB2312" w:cs="楷体_GB2312"/>
          <w:color w:val="auto"/>
          <w:kern w:val="0"/>
          <w:sz w:val="32"/>
          <w:szCs w:val="32"/>
        </w:rPr>
        <w:t>获得湖南省“基础教育精品课”遴选活动、第九届中学生建制班合唱比赛、第八届中小学生艺术展演活动、中小学“新时代好少年·礼赞新中国 奋进新时代”主题教育读书活动等4个优秀组织奖；其中</w:t>
      </w:r>
      <w:r>
        <w:rPr>
          <w:rFonts w:hint="eastAsia" w:ascii="仿宋_GB2312" w:hAnsi="仿宋_GB2312" w:eastAsia="仿宋_GB2312" w:cs="仿宋_GB2312"/>
          <w:color w:val="auto"/>
          <w:sz w:val="32"/>
          <w:szCs w:val="32"/>
        </w:rPr>
        <w:t>基础教育精品课省一等奖数量位居全市第一。</w:t>
      </w:r>
    </w:p>
    <w:p>
      <w:pPr>
        <w:pStyle w:val="21"/>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cs="仿宋"/>
          <w:color w:val="auto"/>
          <w:sz w:val="32"/>
          <w:szCs w:val="32"/>
        </w:rPr>
      </w:pPr>
      <w:r>
        <w:rPr>
          <w:rFonts w:hint="eastAsia" w:ascii="仿宋_GB2312" w:cs="仿宋"/>
          <w:color w:val="auto"/>
          <w:sz w:val="32"/>
          <w:szCs w:val="32"/>
        </w:rPr>
        <w:t>8</w:t>
      </w:r>
      <w:r>
        <w:rPr>
          <w:rFonts w:ascii="仿宋_GB2312" w:cs="仿宋"/>
          <w:color w:val="auto"/>
          <w:sz w:val="32"/>
          <w:szCs w:val="32"/>
        </w:rPr>
        <w:t>.</w:t>
      </w:r>
      <w:r>
        <w:rPr>
          <w:rFonts w:hint="eastAsia" w:ascii="仿宋_GB2312" w:cs="仿宋"/>
          <w:color w:val="auto"/>
          <w:sz w:val="32"/>
          <w:szCs w:val="32"/>
        </w:rPr>
        <w:t>塔峰中学化学学科精品课例代表永州市在全省基础教育信息化应用现场交流会上作交流展示；大桥学校入选湖南省国家中小学智慧教育平台示范校；大桥学校、赤蓝桥小学、四完小等3</w:t>
      </w:r>
      <w:r>
        <w:rPr>
          <w:rFonts w:hint="eastAsia" w:ascii="仿宋_GB2312" w:cs="仿宋"/>
          <w:color w:val="auto"/>
          <w:sz w:val="32"/>
          <w:szCs w:val="32"/>
          <w:lang w:val="en-US" w:eastAsia="zh-CN"/>
        </w:rPr>
        <w:t>所学</w:t>
      </w:r>
      <w:r>
        <w:rPr>
          <w:rFonts w:hint="eastAsia" w:ascii="仿宋_GB2312" w:cs="仿宋"/>
          <w:color w:val="auto"/>
          <w:sz w:val="32"/>
          <w:szCs w:val="32"/>
        </w:rPr>
        <w:t>校入选永州市国家中小学智慧教育平台示范校；四完小入选永州市中小学人工智能教育基地校；</w:t>
      </w:r>
      <w:r>
        <w:rPr>
          <w:rFonts w:hint="eastAsia" w:ascii="仿宋_GB2312" w:cs="仿宋_GB2312"/>
          <w:color w:val="auto"/>
          <w:sz w:val="32"/>
          <w:szCs w:val="32"/>
        </w:rPr>
        <w:t>赤蓝桥小学被评为市学科教研基地；一完小被评为市拔尖创新人才培养基地校。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围绕“三坚决两确保”目标，深入开展教育安全治本攻坚三年行动和安全守底行动，推进实施“1530”安全教育制度，坚决扛起确保校园学生安全的重大政治责任，实现全年校园学生安全零事故，校园学生安全工作继续保持全市先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cs="仿宋_GB2312"/>
          <w:bCs/>
          <w:color w:val="auto"/>
          <w:sz w:val="32"/>
          <w:szCs w:val="32"/>
        </w:rPr>
      </w:pPr>
      <w:r>
        <w:rPr>
          <w:rFonts w:hint="eastAsia" w:ascii="仿宋_GB2312" w:eastAsia="仿宋_GB2312" w:cs="仿宋"/>
          <w:color w:val="auto"/>
          <w:sz w:val="32"/>
          <w:szCs w:val="32"/>
        </w:rPr>
        <w:t>10.义务教育质量监测结果</w:t>
      </w:r>
      <w:r>
        <w:rPr>
          <w:rFonts w:ascii="仿宋_GB2312" w:eastAsia="仿宋_GB2312" w:cs="仿宋"/>
          <w:color w:val="auto"/>
          <w:sz w:val="32"/>
          <w:szCs w:val="32"/>
        </w:rPr>
        <w:t>向上向好</w:t>
      </w:r>
      <w:r>
        <w:rPr>
          <w:rFonts w:hint="eastAsia" w:ascii="仿宋_GB2312" w:eastAsia="仿宋_GB2312" w:cs="仿宋"/>
          <w:color w:val="auto"/>
          <w:sz w:val="32"/>
          <w:szCs w:val="32"/>
        </w:rPr>
        <w:t>，位居全省前列，蓝山县英语学业水平位于全国参测县前列，英语教材有关经验做法获省教育厅推介。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eastAsia="仿宋_GB2312" w:cs="楷体_GB2312"/>
          <w:color w:val="auto"/>
          <w:kern w:val="0"/>
          <w:sz w:val="32"/>
          <w:szCs w:val="32"/>
        </w:rPr>
        <w:t>11.</w:t>
      </w:r>
      <w:r>
        <w:rPr>
          <w:rFonts w:hint="eastAsia" w:ascii="仿宋_GB2312" w:eastAsia="仿宋_GB2312" w:cs="楷体_GB2312"/>
          <w:color w:val="auto"/>
          <w:kern w:val="0"/>
          <w:sz w:val="32"/>
          <w:szCs w:val="32"/>
          <w:lang w:val="en-US" w:eastAsia="zh-CN"/>
        </w:rPr>
        <w:t>在</w:t>
      </w:r>
      <w:r>
        <w:rPr>
          <w:rFonts w:hint="eastAsia" w:ascii="仿宋_GB2312" w:eastAsia="仿宋_GB2312" w:cs="楷体_GB2312"/>
          <w:color w:val="auto"/>
          <w:kern w:val="0"/>
          <w:sz w:val="32"/>
          <w:szCs w:val="32"/>
        </w:rPr>
        <w:t>2024年永州市中小学劳动教育现场展示交流活动</w:t>
      </w:r>
      <w:r>
        <w:rPr>
          <w:rFonts w:hint="eastAsia" w:ascii="仿宋_GB2312" w:eastAsia="仿宋_GB2312" w:cs="楷体_GB2312"/>
          <w:color w:val="auto"/>
          <w:kern w:val="0"/>
          <w:sz w:val="32"/>
          <w:szCs w:val="32"/>
          <w:lang w:val="en-US" w:eastAsia="zh-CN"/>
        </w:rPr>
        <w:t>中作</w:t>
      </w:r>
      <w:r>
        <w:rPr>
          <w:rFonts w:hint="eastAsia" w:ascii="仿宋_GB2312" w:eastAsia="仿宋_GB2312" w:cs="楷体_GB2312"/>
          <w:color w:val="auto"/>
          <w:kern w:val="0"/>
          <w:sz w:val="32"/>
          <w:szCs w:val="32"/>
        </w:rPr>
        <w:t>典型发言；承办生源地信用助学贷款工作经验交流现场会</w:t>
      </w:r>
      <w:r>
        <w:rPr>
          <w:rFonts w:hint="eastAsia" w:ascii="仿宋_GB2312" w:eastAsia="仿宋_GB2312" w:cs="楷体_GB2312"/>
          <w:color w:val="auto"/>
          <w:kern w:val="0"/>
          <w:sz w:val="32"/>
          <w:szCs w:val="32"/>
          <w:lang w:val="en-US" w:eastAsia="zh-CN"/>
        </w:rPr>
        <w:t>暨学生资助业务培训会</w:t>
      </w:r>
      <w:r>
        <w:rPr>
          <w:rFonts w:hint="eastAsia" w:ascii="仿宋_GB2312" w:eastAsia="仿宋_GB2312" w:cs="楷体_GB2312"/>
          <w:color w:val="auto"/>
          <w:kern w:val="0"/>
          <w:sz w:val="32"/>
          <w:szCs w:val="32"/>
        </w:rPr>
        <w:t>并作典型发言；</w:t>
      </w:r>
      <w:r>
        <w:rPr>
          <w:rFonts w:hint="eastAsia" w:ascii="仿宋_GB2312" w:eastAsia="仿宋_GB2312" w:cs="楷体_GB2312"/>
          <w:color w:val="auto"/>
          <w:kern w:val="0"/>
          <w:sz w:val="32"/>
          <w:szCs w:val="32"/>
          <w:lang w:val="en-US" w:eastAsia="zh-CN"/>
        </w:rPr>
        <w:t>承办2024年第一期全市党员干部教育“乡村学堂”活动；</w:t>
      </w:r>
      <w:r>
        <w:rPr>
          <w:rFonts w:hint="eastAsia" w:ascii="仿宋_GB2312" w:eastAsia="仿宋_GB2312" w:cs="楷体_GB2312"/>
          <w:color w:val="auto"/>
          <w:kern w:val="0"/>
          <w:sz w:val="32"/>
          <w:szCs w:val="32"/>
        </w:rPr>
        <w:t>承办全市小学道德与法治教师教学竞赛活动；承办全市高中音乐课堂教学展示暨观摩研讨活动。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仿宋_GB2312"/>
          <w:color w:val="auto"/>
          <w:sz w:val="32"/>
          <w:szCs w:val="32"/>
        </w:rPr>
      </w:pPr>
      <w:r>
        <w:rPr>
          <w:rFonts w:ascii="仿宋_GB2312" w:eastAsia="仿宋_GB2312" w:cs="仿宋_GB2312"/>
          <w:color w:val="auto"/>
          <w:sz w:val="32"/>
          <w:szCs w:val="32"/>
          <w:shd w:val="clear" w:color="auto" w:fill="FFFFFF"/>
        </w:rPr>
        <w:t>1</w:t>
      </w:r>
      <w:r>
        <w:rPr>
          <w:rFonts w:hint="eastAsia" w:ascii="仿宋_GB2312" w:eastAsia="仿宋_GB2312" w:cs="仿宋_GB2312"/>
          <w:color w:val="auto"/>
          <w:sz w:val="32"/>
          <w:szCs w:val="32"/>
          <w:shd w:val="clear" w:color="auto" w:fill="FFFFFF"/>
        </w:rPr>
        <w:t>2.</w:t>
      </w:r>
      <w:r>
        <w:rPr>
          <w:rFonts w:hint="eastAsia" w:ascii="仿宋_GB2312" w:eastAsia="仿宋_GB2312" w:cs="仿宋_GB2312"/>
          <w:color w:val="auto"/>
          <w:sz w:val="32"/>
          <w:szCs w:val="32"/>
        </w:rPr>
        <w:t>建成1个市级名师工作室、26个县级名师工作室，入选永州市首届潇湘名师5名、市级及以上名师工作室成员41人；聘任县名师队伍232人、县名校园长4人。</w:t>
      </w:r>
    </w:p>
    <w:p>
      <w:pPr>
        <w:pStyle w:val="9"/>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13</w:t>
      </w:r>
      <w:r>
        <w:rPr>
          <w:rFonts w:hint="eastAsia" w:ascii="仿宋_GB2312" w:hAnsi="Times New Roman" w:eastAsia="仿宋_GB2312" w:cs="仿宋"/>
          <w:color w:val="auto"/>
          <w:sz w:val="32"/>
          <w:szCs w:val="32"/>
        </w:rPr>
        <w:t>.县职业中专被认定为省级劳动教育实践基地；明德实验小学被评为省中小学科学教育实验校；实验幼儿园被评为省巾帼文明岗；总市学校被评为省乡村温馨校园。</w:t>
      </w:r>
      <w:r>
        <w:rPr>
          <w:rFonts w:hint="eastAsia" w:ascii="仿宋_GB2312" w:eastAsia="仿宋_GB2312" w:cs="仿宋_GB2312"/>
          <w:color w:val="auto"/>
          <w:sz w:val="32"/>
          <w:szCs w:val="32"/>
        </w:rPr>
        <w:t>县职业中专被评为市青春健康教育基地；</w:t>
      </w:r>
      <w:r>
        <w:rPr>
          <w:rFonts w:hint="eastAsia" w:ascii="仿宋_GB2312" w:hAnsi="Times New Roman" w:eastAsia="仿宋_GB2312" w:cs="仿宋"/>
          <w:color w:val="auto"/>
          <w:sz w:val="32"/>
          <w:szCs w:val="32"/>
        </w:rPr>
        <w:t>太平学校被评为市示范家长学校；</w:t>
      </w:r>
      <w:r>
        <w:rPr>
          <w:rFonts w:hint="eastAsia" w:ascii="仿宋_GB2312" w:eastAsia="仿宋_GB2312" w:cs="仿宋_GB2312"/>
          <w:color w:val="auto"/>
          <w:sz w:val="32"/>
          <w:szCs w:val="32"/>
        </w:rPr>
        <w:t>一完小、三完小、塔峰中学被评为市书香校园；一完小、辅仁学校被评为市优秀少先队大队。</w:t>
      </w:r>
    </w:p>
    <w:p>
      <w:pPr>
        <w:pStyle w:val="10"/>
        <w:keepNext w:val="0"/>
        <w:keepLines w:val="0"/>
        <w:widowControl/>
        <w:numPr>
          <w:ilvl w:val="0"/>
          <w:numId w:val="1"/>
        </w:numPr>
        <w:suppressLineNumbers w:val="0"/>
        <w:spacing w:before="0" w:beforeLines="0" w:beforeAutospacing="0" w:after="0" w:afterLines="0" w:afterAutospacing="0" w:line="33" w:lineRule="atLeast"/>
        <w:ind w:left="0" w:leftChars="0" w:right="0" w:firstLine="600" w:firstLineChars="200"/>
        <w:jc w:val="both"/>
        <w:rPr>
          <w:rFonts w:hint="default" w:ascii="仿宋_GB2312" w:hAnsi="仿宋_GB2312" w:eastAsia="仿宋_GB2312" w:cs="仿宋_GB2312"/>
          <w:sz w:val="30"/>
          <w:szCs w:val="30"/>
          <w:lang w:val="en-US"/>
        </w:rPr>
      </w:pPr>
      <w:r>
        <w:rPr>
          <w:rFonts w:hint="eastAsia" w:ascii="仿宋_GB2312" w:hAnsi="仿宋_GB2312" w:eastAsia="仿宋_GB2312" w:cs="仿宋_GB2312"/>
          <w:b/>
          <w:bCs/>
          <w:sz w:val="30"/>
          <w:szCs w:val="30"/>
        </w:rPr>
        <w:t>效率性和有效性</w:t>
      </w:r>
      <w:r>
        <w:rPr>
          <w:rFonts w:hint="eastAsia" w:ascii="仿宋_GB2312" w:hAnsi="仿宋_GB2312" w:eastAsia="仿宋_GB2312" w:cs="仿宋_GB2312"/>
          <w:b/>
          <w:bCs/>
          <w:sz w:val="30"/>
          <w:szCs w:val="30"/>
          <w:lang w:eastAsia="zh-CN"/>
        </w:rPr>
        <w:t>。</w:t>
      </w:r>
    </w:p>
    <w:p>
      <w:pPr>
        <w:pStyle w:val="10"/>
        <w:keepNext w:val="0"/>
        <w:keepLines w:val="0"/>
        <w:widowControl/>
        <w:numPr>
          <w:ilvl w:val="0"/>
          <w:numId w:val="0"/>
        </w:numPr>
        <w:suppressLineNumbers w:val="0"/>
        <w:spacing w:before="0" w:beforeLines="0" w:beforeAutospacing="0" w:after="0" w:afterLines="0" w:afterAutospacing="0" w:line="33" w:lineRule="atLeast"/>
        <w:ind w:leftChars="200" w:right="0" w:rightChars="0" w:firstLine="600" w:firstLineChars="200"/>
        <w:jc w:val="both"/>
        <w:rPr>
          <w:rFonts w:hint="default"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eastAsia="zh-CN"/>
        </w:rPr>
        <w:t>由于部分项目未完成结算工作，导致项目资金未及时支付，还有部分项目因财政资金困难导致在途未实际支付完成，导致项目完成率未达到100%</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项目资金效率性有所欠缺。但整体项目支出质量合格，未发现不规范行为，各环节把关严格，手续完备，在年度考核中表现优异。</w:t>
      </w:r>
    </w:p>
    <w:p>
      <w:pPr>
        <w:pStyle w:val="10"/>
        <w:keepNext w:val="0"/>
        <w:keepLines w:val="0"/>
        <w:widowControl/>
        <w:numPr>
          <w:ilvl w:val="0"/>
          <w:numId w:val="1"/>
        </w:numPr>
        <w:suppressLineNumbers w:val="0"/>
        <w:spacing w:before="0" w:beforeLines="0" w:beforeAutospacing="0" w:after="0" w:afterLines="0" w:afterAutospacing="0" w:line="33" w:lineRule="atLeast"/>
        <w:ind w:left="0" w:leftChars="0" w:right="0" w:firstLine="600" w:firstLineChars="200"/>
        <w:jc w:val="both"/>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可持续性。</w:t>
      </w:r>
    </w:p>
    <w:p>
      <w:pPr>
        <w:pStyle w:val="10"/>
        <w:keepNext w:val="0"/>
        <w:keepLines w:val="0"/>
        <w:widowControl/>
        <w:numPr>
          <w:ilvl w:val="0"/>
          <w:numId w:val="0"/>
        </w:numPr>
        <w:suppressLineNumbers w:val="0"/>
        <w:spacing w:before="0" w:beforeLines="0" w:beforeAutospacing="0" w:after="0" w:afterLines="0" w:afterAutospacing="0" w:line="33" w:lineRule="atLeast"/>
        <w:ind w:leftChars="200" w:right="0" w:rightChars="0"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根据资金使用情况</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我单位将加强</w:t>
      </w:r>
      <w:r>
        <w:rPr>
          <w:rFonts w:hint="eastAsia" w:ascii="仿宋_GB2312" w:hAnsi="仿宋_GB2312" w:eastAsia="仿宋_GB2312" w:cs="仿宋_GB2312"/>
          <w:sz w:val="30"/>
          <w:szCs w:val="30"/>
        </w:rPr>
        <w:t>后续政策、资金、人员机构安排和管理措施</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推进项目实施进度，保障项目合理合规进行，提升我县的办学条件水平</w:t>
      </w:r>
      <w:r>
        <w:rPr>
          <w:rFonts w:hint="eastAsia" w:ascii="仿宋_GB2312" w:hAnsi="仿宋_GB2312" w:eastAsia="仿宋_GB2312" w:cs="仿宋_GB2312"/>
          <w:sz w:val="30"/>
          <w:szCs w:val="30"/>
        </w:rPr>
        <w:t>。</w:t>
      </w:r>
    </w:p>
    <w:p>
      <w:pPr>
        <w:spacing w:line="500" w:lineRule="exact"/>
        <w:ind w:firstLine="600" w:firstLineChars="200"/>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eastAsia="zh-CN"/>
        </w:rPr>
        <w:t>四</w:t>
      </w:r>
      <w:r>
        <w:rPr>
          <w:rFonts w:hint="eastAsia" w:ascii="仿宋_GB2312" w:hAnsi="仿宋_GB2312" w:eastAsia="仿宋_GB2312" w:cs="仿宋_GB2312"/>
          <w:b/>
          <w:bCs/>
          <w:sz w:val="30"/>
          <w:szCs w:val="30"/>
        </w:rPr>
        <w:t>）社会和公众满意度</w:t>
      </w:r>
      <w:r>
        <w:rPr>
          <w:rFonts w:hint="eastAsia" w:ascii="仿宋_GB2312" w:hAnsi="仿宋_GB2312" w:eastAsia="仿宋_GB2312" w:cs="仿宋_GB2312"/>
          <w:b/>
          <w:bCs/>
          <w:sz w:val="30"/>
          <w:szCs w:val="30"/>
          <w:lang w:eastAsia="zh-CN"/>
        </w:rPr>
        <w:t>。</w:t>
      </w:r>
    </w:p>
    <w:p>
      <w:pPr>
        <w:spacing w:line="500" w:lineRule="exact"/>
        <w:ind w:firstLine="600" w:firstLineChars="200"/>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在已完成的各个项目中，社会和群众满意度都在90%以上，表现优异，改善了相关学校的办学设施设备，得到了学生、家长及社会各界人士的支持与赞扬。</w:t>
      </w:r>
    </w:p>
    <w:p>
      <w:pPr>
        <w:pStyle w:val="10"/>
        <w:keepNext w:val="0"/>
        <w:keepLines w:val="0"/>
        <w:widowControl/>
        <w:numPr>
          <w:ilvl w:val="0"/>
          <w:numId w:val="0"/>
        </w:numPr>
        <w:suppressLineNumbers w:val="0"/>
        <w:spacing w:before="0" w:beforeLines="0" w:beforeAutospacing="0" w:after="0" w:afterLines="0" w:afterAutospacing="0" w:line="33" w:lineRule="atLeast"/>
        <w:ind w:left="602" w:leftChars="0" w:right="0" w:rightChars="0" w:firstLine="0" w:firstLineChars="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lang w:val="en-US" w:eastAsia="zh-CN" w:bidi="ar-SA"/>
        </w:rPr>
        <w:t>二、</w:t>
      </w:r>
      <w:r>
        <w:rPr>
          <w:rFonts w:hint="eastAsia" w:ascii="仿宋_GB2312" w:hAnsi="仿宋_GB2312" w:eastAsia="仿宋_GB2312" w:cs="仿宋_GB2312"/>
          <w:b/>
          <w:bCs/>
          <w:sz w:val="32"/>
          <w:szCs w:val="32"/>
        </w:rPr>
        <w:t>存在的主要问题</w:t>
      </w:r>
    </w:p>
    <w:p>
      <w:pPr>
        <w:pStyle w:val="10"/>
        <w:keepNext w:val="0"/>
        <w:keepLines w:val="0"/>
        <w:widowControl/>
        <w:numPr>
          <w:ilvl w:val="0"/>
          <w:numId w:val="0"/>
        </w:numPr>
        <w:suppressLineNumbers w:val="0"/>
        <w:spacing w:before="0" w:beforeLines="0" w:beforeAutospacing="0" w:after="0" w:afterLines="0" w:afterAutospacing="0" w:line="33" w:lineRule="atLeast"/>
        <w:ind w:right="0" w:rightChars="0" w:firstLine="600" w:firstLineChars="200"/>
        <w:jc w:val="both"/>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1、资金使用率不是很高。一个是由于部分项目未按时按质完成，一个是由于财政资金紧张，部分项目已完成支付手续，但未实际支付，导致预算执行率不高。</w:t>
      </w:r>
    </w:p>
    <w:p>
      <w:pPr>
        <w:pStyle w:val="10"/>
        <w:keepNext w:val="0"/>
        <w:keepLines w:val="0"/>
        <w:widowControl/>
        <w:numPr>
          <w:ilvl w:val="0"/>
          <w:numId w:val="0"/>
        </w:numPr>
        <w:suppressLineNumbers w:val="0"/>
        <w:spacing w:before="0" w:beforeLines="0" w:beforeAutospacing="0" w:after="0" w:afterLines="0" w:afterAutospacing="0" w:line="33" w:lineRule="atLeast"/>
        <w:ind w:right="0" w:rightChars="0" w:firstLine="600" w:firstLineChars="200"/>
        <w:jc w:val="both"/>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2、人员严重缺编与工作任务繁重矛盾日益突出。我单位编制数60人，实际在职人数47</w:t>
      </w:r>
      <w:bookmarkStart w:id="3" w:name="_GoBack"/>
      <w:bookmarkEnd w:id="3"/>
      <w:r>
        <w:rPr>
          <w:rFonts w:hint="eastAsia" w:ascii="仿宋_GB2312" w:hAnsi="仿宋_GB2312" w:eastAsia="仿宋_GB2312" w:cs="仿宋_GB2312"/>
          <w:kern w:val="0"/>
          <w:sz w:val="30"/>
          <w:szCs w:val="30"/>
          <w:lang w:val="en-US" w:eastAsia="zh-CN" w:bidi="ar-SA"/>
        </w:rPr>
        <w:t>人，整体人数缺少。</w:t>
      </w:r>
    </w:p>
    <w:p>
      <w:pPr>
        <w:pStyle w:val="10"/>
        <w:keepNext w:val="0"/>
        <w:keepLines w:val="0"/>
        <w:widowControl/>
        <w:numPr>
          <w:ilvl w:val="0"/>
          <w:numId w:val="0"/>
        </w:numPr>
        <w:suppressLineNumbers w:val="0"/>
        <w:spacing w:before="0" w:beforeLines="0" w:beforeAutospacing="0" w:after="0" w:afterLines="0" w:afterAutospacing="0" w:line="33" w:lineRule="atLeast"/>
        <w:ind w:right="0" w:rightChars="0" w:firstLine="600" w:firstLineChars="200"/>
        <w:jc w:val="both"/>
        <w:rPr>
          <w:rFonts w:hint="default" w:ascii="仿宋_GB2312" w:hAnsi="仿宋_GB2312" w:eastAsia="仿宋_GB2312" w:cs="仿宋_GB2312"/>
          <w:kern w:val="0"/>
          <w:sz w:val="30"/>
          <w:szCs w:val="30"/>
          <w:lang w:val="en-US" w:eastAsia="zh-CN" w:bidi="ar-SA"/>
        </w:rPr>
      </w:pPr>
    </w:p>
    <w:p>
      <w:pPr>
        <w:pStyle w:val="10"/>
        <w:keepNext w:val="0"/>
        <w:keepLines w:val="0"/>
        <w:widowControl/>
        <w:suppressLineNumbers w:val="0"/>
        <w:spacing w:before="0" w:beforeLines="0" w:beforeAutospacing="0" w:after="0" w:afterLines="0" w:afterAutospacing="0" w:line="33" w:lineRule="atLeast"/>
        <w:ind w:left="0" w:right="0" w:firstLine="640"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、改进措施和有关建议</w:t>
      </w:r>
    </w:p>
    <w:p>
      <w:pPr>
        <w:pStyle w:val="10"/>
        <w:keepNext w:val="0"/>
        <w:keepLines w:val="0"/>
        <w:widowControl/>
        <w:suppressLineNumbers w:val="0"/>
        <w:spacing w:before="0" w:beforeLines="0" w:beforeAutospacing="0" w:after="0" w:afterLines="0" w:afterAutospacing="0" w:line="33" w:lineRule="atLeast"/>
        <w:ind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本年度</w:t>
      </w:r>
      <w:r>
        <w:rPr>
          <w:rFonts w:hint="eastAsia" w:ascii="仿宋_GB2312" w:hAnsi="仿宋_GB2312" w:eastAsia="仿宋_GB2312" w:cs="仿宋_GB2312"/>
          <w:sz w:val="32"/>
          <w:szCs w:val="32"/>
          <w:lang w:val="en-US" w:eastAsia="zh-CN"/>
        </w:rPr>
        <w:t>我单位将</w:t>
      </w:r>
      <w:r>
        <w:rPr>
          <w:rFonts w:hint="eastAsia" w:ascii="仿宋_GB2312" w:hAnsi="仿宋_GB2312" w:eastAsia="仿宋_GB2312" w:cs="仿宋_GB2312"/>
          <w:sz w:val="32"/>
          <w:szCs w:val="32"/>
        </w:rPr>
        <w:t>进一步完善财务管理运行机制、建立科学化、精细化的预决算管理制度、加快财务监督建设、提高经费使用效益、强化财务风险管理。</w:t>
      </w:r>
    </w:p>
    <w:p>
      <w:pPr>
        <w:pStyle w:val="10"/>
        <w:keepNext w:val="0"/>
        <w:keepLines w:val="0"/>
        <w:widowControl/>
        <w:suppressLineNumbers w:val="0"/>
        <w:spacing w:before="0" w:beforeLines="0" w:beforeAutospacing="0" w:after="0" w:afterLines="0" w:afterAutospacing="0" w:line="33" w:lineRule="atLeast"/>
        <w:ind w:righ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2、招贤纳士，根据各部门业务内容和范围，加派相关专业人士负责相关业务，让专人做专事，提高业务处理效率。</w:t>
      </w:r>
    </w:p>
    <w:p>
      <w:pPr>
        <w:pStyle w:val="10"/>
        <w:keepNext w:val="0"/>
        <w:keepLines w:val="0"/>
        <w:widowControl/>
        <w:suppressLineNumbers w:val="0"/>
        <w:spacing w:before="0" w:beforeLines="0" w:beforeAutospacing="0" w:after="0" w:afterLines="0" w:afterAutospacing="0" w:line="33" w:lineRule="atLeast"/>
        <w:ind w:right="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3、积极参加各类业务培训，加强从业人员素质和业务水平。</w:t>
      </w: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8009E9"/>
    <w:multiLevelType w:val="singleLevel"/>
    <w:tmpl w:val="F58009E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MGIzZDIxM2E1YTUzNzhhN2FkN2EzOTA3NTRkNjY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5B16D4"/>
    <w:rsid w:val="03BF4636"/>
    <w:rsid w:val="0552568C"/>
    <w:rsid w:val="0CCD14A5"/>
    <w:rsid w:val="0D9467C9"/>
    <w:rsid w:val="0E4137B5"/>
    <w:rsid w:val="100F593E"/>
    <w:rsid w:val="1D1B0EED"/>
    <w:rsid w:val="1D97DEFF"/>
    <w:rsid w:val="1DFF72E5"/>
    <w:rsid w:val="1EFC6F07"/>
    <w:rsid w:val="22346A4E"/>
    <w:rsid w:val="22B03FCB"/>
    <w:rsid w:val="27653C19"/>
    <w:rsid w:val="2D615791"/>
    <w:rsid w:val="2F111571"/>
    <w:rsid w:val="2FDF85B8"/>
    <w:rsid w:val="2FFFEE04"/>
    <w:rsid w:val="3152507D"/>
    <w:rsid w:val="34DF85B0"/>
    <w:rsid w:val="3AE242DB"/>
    <w:rsid w:val="3B8F36BC"/>
    <w:rsid w:val="3F9124C3"/>
    <w:rsid w:val="466B3B18"/>
    <w:rsid w:val="491FF225"/>
    <w:rsid w:val="4A7364C9"/>
    <w:rsid w:val="4FFD214C"/>
    <w:rsid w:val="51876A10"/>
    <w:rsid w:val="5777D4F5"/>
    <w:rsid w:val="58DC0F3B"/>
    <w:rsid w:val="59DD8326"/>
    <w:rsid w:val="5DEF592A"/>
    <w:rsid w:val="5FC6BB1E"/>
    <w:rsid w:val="5FF720F1"/>
    <w:rsid w:val="651A1B1E"/>
    <w:rsid w:val="67FF5C0B"/>
    <w:rsid w:val="686F5771"/>
    <w:rsid w:val="6EFC0924"/>
    <w:rsid w:val="6FB74722"/>
    <w:rsid w:val="6FEF8B7E"/>
    <w:rsid w:val="71A6591B"/>
    <w:rsid w:val="72D40CAE"/>
    <w:rsid w:val="737D59BA"/>
    <w:rsid w:val="77C37683"/>
    <w:rsid w:val="79CF4C55"/>
    <w:rsid w:val="79D19834"/>
    <w:rsid w:val="79FF515B"/>
    <w:rsid w:val="7AAB3417"/>
    <w:rsid w:val="7B410176"/>
    <w:rsid w:val="7BB53166"/>
    <w:rsid w:val="7D7C4856"/>
    <w:rsid w:val="7E9049E9"/>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widowControl/>
      <w:spacing w:before="100" w:beforeAutospacing="1" w:after="100" w:afterAutospacing="1"/>
      <w:jc w:val="left"/>
    </w:pPr>
    <w:rPr>
      <w:rFonts w:ascii="宋体" w:hAnsi="宋体" w:cs="宋体"/>
      <w:kern w:val="0"/>
      <w:sz w:val="24"/>
    </w:rPr>
  </w:style>
  <w:style w:type="paragraph" w:styleId="3">
    <w:name w:val="Body Text Indent"/>
    <w:basedOn w:val="1"/>
    <w:next w:val="4"/>
    <w:autoRedefine/>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autoRedefine/>
    <w:unhideWhenUsed/>
    <w:qFormat/>
    <w:uiPriority w:val="99"/>
    <w:pPr>
      <w:ind w:firstLine="420" w:firstLineChars="200"/>
    </w:pPr>
  </w:style>
  <w:style w:type="paragraph" w:styleId="5">
    <w:name w:val="Balloon Text"/>
    <w:basedOn w:val="1"/>
    <w:link w:val="17"/>
    <w:autoRedefine/>
    <w:semiHidden/>
    <w:unhideWhenUsed/>
    <w:qFormat/>
    <w:uiPriority w:val="99"/>
    <w:rPr>
      <w:sz w:val="18"/>
      <w:szCs w:val="18"/>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autoRedefine/>
    <w:semiHidden/>
    <w:qFormat/>
    <w:uiPriority w:val="0"/>
    <w:pPr>
      <w:snapToGrid w:val="0"/>
      <w:jc w:val="left"/>
    </w:pPr>
    <w:rPr>
      <w:sz w:val="18"/>
      <w:szCs w:val="18"/>
    </w:rPr>
  </w:style>
  <w:style w:type="paragraph" w:styleId="9">
    <w:name w:val="HTML Preformatted"/>
    <w:basedOn w:val="1"/>
    <w:autoRedefine/>
    <w:unhideWhenUsed/>
    <w:qFormat/>
    <w:uiPriority w:val="99"/>
    <w:rPr>
      <w:rFonts w:ascii="Courier New" w:hAnsi="Courier New" w:cs="Courier New"/>
      <w:sz w:val="20"/>
      <w:szCs w:val="20"/>
    </w:rPr>
  </w:style>
  <w:style w:type="paragraph" w:styleId="10">
    <w:name w:val="Normal (Web)"/>
    <w:basedOn w:val="1"/>
    <w:autoRedefine/>
    <w:unhideWhenUsed/>
    <w:qFormat/>
    <w:uiPriority w:val="99"/>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SA"/>
    </w:rPr>
  </w:style>
  <w:style w:type="character" w:customStyle="1" w:styleId="13">
    <w:name w:val="页眉 Char"/>
    <w:basedOn w:val="12"/>
    <w:link w:val="7"/>
    <w:autoRedefine/>
    <w:qFormat/>
    <w:uiPriority w:val="99"/>
    <w:rPr>
      <w:sz w:val="18"/>
      <w:szCs w:val="18"/>
    </w:rPr>
  </w:style>
  <w:style w:type="character" w:customStyle="1" w:styleId="14">
    <w:name w:val="页脚 Char"/>
    <w:basedOn w:val="12"/>
    <w:link w:val="6"/>
    <w:autoRedefine/>
    <w:qFormat/>
    <w:uiPriority w:val="99"/>
    <w:rPr>
      <w:sz w:val="18"/>
      <w:szCs w:val="18"/>
    </w:rPr>
  </w:style>
  <w:style w:type="paragraph" w:customStyle="1" w:styleId="15">
    <w:name w:val="Default"/>
    <w:autoRedefine/>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autoRedefine/>
    <w:qFormat/>
    <w:uiPriority w:val="34"/>
    <w:pPr>
      <w:ind w:firstLine="420" w:firstLineChars="200"/>
    </w:pPr>
  </w:style>
  <w:style w:type="character" w:customStyle="1" w:styleId="17">
    <w:name w:val="批注框文本 Char"/>
    <w:basedOn w:val="12"/>
    <w:link w:val="5"/>
    <w:autoRedefine/>
    <w:semiHidden/>
    <w:qFormat/>
    <w:uiPriority w:val="99"/>
    <w:rPr>
      <w:sz w:val="18"/>
      <w:szCs w:val="18"/>
    </w:rPr>
  </w:style>
  <w:style w:type="character" w:customStyle="1" w:styleId="18">
    <w:name w:val="font01"/>
    <w:basedOn w:val="12"/>
    <w:autoRedefine/>
    <w:qFormat/>
    <w:uiPriority w:val="0"/>
    <w:rPr>
      <w:rFonts w:hint="eastAsia" w:ascii="宋体" w:hAnsi="宋体" w:eastAsia="宋体" w:cs="宋体"/>
      <w:color w:val="000000"/>
      <w:sz w:val="22"/>
      <w:szCs w:val="22"/>
      <w:u w:val="none"/>
    </w:rPr>
  </w:style>
  <w:style w:type="character" w:customStyle="1" w:styleId="19">
    <w:name w:val="font21"/>
    <w:basedOn w:val="12"/>
    <w:autoRedefine/>
    <w:qFormat/>
    <w:uiPriority w:val="0"/>
    <w:rPr>
      <w:rFonts w:hint="eastAsia" w:ascii="宋体" w:hAnsi="宋体" w:eastAsia="宋体" w:cs="宋体"/>
      <w:color w:val="000000"/>
      <w:sz w:val="24"/>
      <w:szCs w:val="24"/>
      <w:u w:val="none"/>
    </w:rPr>
  </w:style>
  <w:style w:type="character" w:customStyle="1" w:styleId="20">
    <w:name w:val="font11"/>
    <w:basedOn w:val="12"/>
    <w:autoRedefine/>
    <w:qFormat/>
    <w:uiPriority w:val="0"/>
    <w:rPr>
      <w:rFonts w:hint="eastAsia" w:ascii="宋体" w:hAnsi="宋体" w:eastAsia="宋体" w:cs="宋体"/>
      <w:color w:val="000000"/>
      <w:sz w:val="24"/>
      <w:szCs w:val="24"/>
      <w:u w:val="none"/>
    </w:rPr>
  </w:style>
  <w:style w:type="paragraph" w:customStyle="1" w:styleId="21">
    <w:name w:val="无间隔1"/>
    <w:next w:val="9"/>
    <w:autoRedefine/>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1463</Words>
  <Characters>8342</Characters>
  <Lines>69</Lines>
  <Paragraphs>19</Paragraphs>
  <TotalTime>9</TotalTime>
  <ScaleCrop>false</ScaleCrop>
  <LinksUpToDate>false</LinksUpToDate>
  <CharactersWithSpaces>9786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2025-08-23T07:16:50Z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7DE7A5D1CE3D40D08DCD37CD40CA7C2F_13</vt:lpwstr>
  </property>
</Properties>
</file>