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7FDC5">
      <w:pPr>
        <w:pStyle w:val="13"/>
        <w:jc w:val="center"/>
        <w:rPr>
          <w:rFonts w:ascii="Times New Roman" w:hAnsi="Times New Roman" w:cs="Times New Roman"/>
          <w:sz w:val="56"/>
          <w:szCs w:val="56"/>
        </w:rPr>
      </w:pPr>
    </w:p>
    <w:p w14:paraId="278F846B">
      <w:pPr>
        <w:pStyle w:val="13"/>
        <w:jc w:val="center"/>
        <w:rPr>
          <w:rFonts w:ascii="Times New Roman" w:hAnsi="Times New Roman" w:cs="Times New Roman"/>
          <w:sz w:val="84"/>
          <w:szCs w:val="84"/>
        </w:rPr>
      </w:pPr>
    </w:p>
    <w:p w14:paraId="666B4F36">
      <w:pPr>
        <w:pStyle w:val="13"/>
        <w:jc w:val="center"/>
        <w:rPr>
          <w:rFonts w:ascii="Times New Roman" w:hAnsi="Times New Roman" w:cs="Times New Roman"/>
          <w:sz w:val="84"/>
          <w:szCs w:val="84"/>
        </w:rPr>
      </w:pPr>
    </w:p>
    <w:p w14:paraId="02CB134C">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14:paraId="624109D7">
      <w:pPr>
        <w:pStyle w:val="13"/>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蓝山县社会保险服务中心</w:t>
      </w:r>
    </w:p>
    <w:p w14:paraId="0A581A8A">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258A91A6">
      <w:pPr>
        <w:pStyle w:val="13"/>
        <w:jc w:val="center"/>
        <w:rPr>
          <w:rFonts w:ascii="Times New Roman" w:hAnsi="Times New Roman" w:eastAsia="方正小标宋_GBK" w:cs="Times New Roman"/>
          <w:sz w:val="56"/>
          <w:szCs w:val="56"/>
        </w:rPr>
      </w:pPr>
    </w:p>
    <w:p w14:paraId="6EF78850">
      <w:pPr>
        <w:pStyle w:val="13"/>
        <w:jc w:val="center"/>
        <w:rPr>
          <w:rFonts w:ascii="Times New Roman" w:hAnsi="Times New Roman" w:cs="Times New Roman"/>
          <w:sz w:val="56"/>
          <w:szCs w:val="56"/>
        </w:rPr>
      </w:pPr>
    </w:p>
    <w:p w14:paraId="4353D37B">
      <w:pPr>
        <w:pStyle w:val="13"/>
        <w:rPr>
          <w:rFonts w:ascii="Times New Roman" w:hAnsi="Times New Roman" w:cs="Times New Roman"/>
          <w:sz w:val="56"/>
          <w:szCs w:val="56"/>
        </w:rPr>
      </w:pPr>
    </w:p>
    <w:p w14:paraId="22C81A8E">
      <w:pPr>
        <w:pStyle w:val="13"/>
        <w:jc w:val="center"/>
        <w:rPr>
          <w:rFonts w:ascii="Times New Roman" w:hAnsi="Times New Roman" w:cs="Times New Roman"/>
          <w:sz w:val="32"/>
          <w:szCs w:val="32"/>
        </w:rPr>
      </w:pPr>
    </w:p>
    <w:p w14:paraId="288589C2">
      <w:pPr>
        <w:pStyle w:val="13"/>
        <w:jc w:val="center"/>
        <w:rPr>
          <w:rFonts w:ascii="Times New Roman" w:hAnsi="Times New Roman" w:cs="Times New Roman"/>
          <w:sz w:val="32"/>
          <w:szCs w:val="32"/>
        </w:rPr>
      </w:pPr>
    </w:p>
    <w:p w14:paraId="239AD891">
      <w:pPr>
        <w:pStyle w:val="13"/>
        <w:jc w:val="center"/>
        <w:rPr>
          <w:rFonts w:ascii="Times New Roman" w:hAnsi="Times New Roman" w:cs="Times New Roman"/>
          <w:sz w:val="32"/>
          <w:szCs w:val="32"/>
        </w:rPr>
      </w:pPr>
    </w:p>
    <w:p w14:paraId="4A68EB0B">
      <w:pPr>
        <w:pStyle w:val="13"/>
        <w:jc w:val="center"/>
        <w:rPr>
          <w:rFonts w:ascii="Times New Roman" w:hAnsi="Times New Roman" w:cs="Times New Roman"/>
          <w:sz w:val="32"/>
          <w:szCs w:val="32"/>
        </w:rPr>
      </w:pPr>
    </w:p>
    <w:p w14:paraId="11517A4F">
      <w:pPr>
        <w:pStyle w:val="13"/>
        <w:jc w:val="center"/>
        <w:rPr>
          <w:rFonts w:ascii="Times New Roman" w:hAnsi="Times New Roman" w:cs="Times New Roman"/>
          <w:sz w:val="32"/>
          <w:szCs w:val="32"/>
        </w:rPr>
      </w:pPr>
    </w:p>
    <w:p w14:paraId="0141252B">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610172F">
      <w:pPr>
        <w:pStyle w:val="13"/>
        <w:spacing w:line="600" w:lineRule="exact"/>
        <w:jc w:val="both"/>
        <w:rPr>
          <w:rFonts w:ascii="Times New Roman" w:hAnsi="Times New Roman" w:cs="Times New Roman"/>
          <w:b/>
          <w:sz w:val="36"/>
          <w:szCs w:val="28"/>
        </w:rPr>
      </w:pPr>
    </w:p>
    <w:p w14:paraId="66790D7A">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4FCDE13">
      <w:pPr>
        <w:pStyle w:val="13"/>
        <w:spacing w:line="600" w:lineRule="exact"/>
        <w:jc w:val="center"/>
        <w:rPr>
          <w:rFonts w:ascii="Times New Roman" w:hAnsi="Times New Roman" w:cs="Times New Roman"/>
          <w:b/>
          <w:sz w:val="36"/>
          <w:szCs w:val="28"/>
        </w:rPr>
      </w:pPr>
    </w:p>
    <w:p w14:paraId="6CF028CA">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蓝山县社会保险服务中心</w:t>
      </w:r>
      <w:r>
        <w:rPr>
          <w:rFonts w:ascii="Times New Roman" w:hAnsi="Times New Roman" w:cs="Times New Roman"/>
          <w:bCs/>
          <w:sz w:val="32"/>
          <w:szCs w:val="32"/>
        </w:rPr>
        <w:t>概况</w:t>
      </w:r>
    </w:p>
    <w:p w14:paraId="4845F6D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4D6BBF3">
      <w:pPr>
        <w:pStyle w:val="13"/>
        <w:numPr>
          <w:ilvl w:val="0"/>
          <w:numId w:val="1"/>
        </w:numP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机构设置及决算单位构成</w:t>
      </w:r>
    </w:p>
    <w:p w14:paraId="2966D704">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0EA94C8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780B18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6CA357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888011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6E8C1B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00CFB6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FDC028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FF4F7E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0DF5BD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EB09C54">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E7D48A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D74E2A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156673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8A910F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2A385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EF6149C">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22E3837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6FFA45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C30143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F3568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0EC12DB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4D50B9C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C63F28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8C5550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14:paraId="4F20DF9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FF70190">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B1FDAEF">
      <w:pPr>
        <w:pStyle w:val="13"/>
        <w:spacing w:line="600" w:lineRule="exact"/>
        <w:rPr>
          <w:rFonts w:ascii="Times New Roman" w:hAnsi="Times New Roman" w:cs="Times New Roman"/>
          <w:bCs/>
          <w:sz w:val="28"/>
          <w:szCs w:val="28"/>
        </w:rPr>
      </w:pPr>
    </w:p>
    <w:p w14:paraId="2BCE532E">
      <w:pPr>
        <w:jc w:val="center"/>
        <w:rPr>
          <w:rFonts w:ascii="Times New Roman" w:hAnsi="Times New Roman" w:cs="Times New Roman"/>
          <w:sz w:val="72"/>
          <w:szCs w:val="72"/>
        </w:rPr>
      </w:pPr>
    </w:p>
    <w:p w14:paraId="04737036">
      <w:pPr>
        <w:jc w:val="center"/>
        <w:rPr>
          <w:rFonts w:ascii="Times New Roman" w:hAnsi="Times New Roman" w:cs="Times New Roman"/>
          <w:sz w:val="72"/>
          <w:szCs w:val="72"/>
        </w:rPr>
      </w:pPr>
    </w:p>
    <w:p w14:paraId="681C368D">
      <w:pPr>
        <w:jc w:val="center"/>
        <w:rPr>
          <w:rFonts w:ascii="Times New Roman" w:hAnsi="Times New Roman" w:cs="Times New Roman"/>
          <w:sz w:val="72"/>
          <w:szCs w:val="72"/>
        </w:rPr>
      </w:pPr>
    </w:p>
    <w:p w14:paraId="7298F21F">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B2FA173">
      <w:pPr>
        <w:rPr>
          <w:rFonts w:ascii="Times New Roman" w:hAnsi="Times New Roman" w:eastAsia="方正小标宋_GBK" w:cs="Times New Roman"/>
          <w:sz w:val="72"/>
          <w:szCs w:val="72"/>
        </w:rPr>
      </w:pPr>
    </w:p>
    <w:p w14:paraId="08B2906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771778B">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蓝山县社会保险服务中心</w:t>
      </w:r>
      <w:r>
        <w:rPr>
          <w:rFonts w:ascii="Times New Roman" w:hAnsi="Times New Roman" w:eastAsia="方正小标宋_GBK" w:cs="Times New Roman"/>
          <w:sz w:val="52"/>
          <w:szCs w:val="52"/>
        </w:rPr>
        <w:t>概况</w:t>
      </w:r>
    </w:p>
    <w:p w14:paraId="5791064D">
      <w:pPr>
        <w:pStyle w:val="3"/>
        <w:ind w:left="0" w:leftChars="0" w:firstLine="0" w:firstLineChars="0"/>
        <w:rPr>
          <w:rFonts w:ascii="Times New Roman" w:hAnsi="Times New Roman" w:cs="Times New Roman"/>
        </w:rPr>
      </w:pPr>
    </w:p>
    <w:p w14:paraId="02AA8AB6">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DBF7B60">
      <w:pPr>
        <w:widowControl/>
        <w:spacing w:line="600" w:lineRule="exact"/>
        <w:ind w:firstLine="640" w:firstLineChars="200"/>
        <w:rPr>
          <w:rFonts w:ascii="Times New Roman" w:hAnsi="Times New Roman" w:eastAsia="仿宋_GB2312" w:cs="Times New Roman"/>
          <w:sz w:val="32"/>
          <w:szCs w:val="32"/>
        </w:rPr>
      </w:pPr>
      <w:r>
        <w:rPr>
          <w:rFonts w:eastAsia="仿宋_GB2312"/>
          <w:bCs/>
          <w:kern w:val="0"/>
          <w:sz w:val="32"/>
          <w:szCs w:val="32"/>
        </w:rPr>
        <w:t>贯彻执行上级有关机关事业养老保险、企业社会养老保险、城乡居民基本养老保险和工伤保险工作的方针政策和法律法规,为社会保险行政管理提供经办服务保障。承担落实职工养老保险中央调剂金制度的经办工作等。</w:t>
      </w:r>
    </w:p>
    <w:p w14:paraId="7DDAC91F">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6E027134">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14:paraId="2D98ADDC">
      <w:pPr>
        <w:widowControl/>
        <w:spacing w:line="600" w:lineRule="exact"/>
        <w:ind w:firstLine="640" w:firstLineChars="200"/>
        <w:rPr>
          <w:rFonts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蓝山县社会保险服务中心</w:t>
      </w:r>
      <w:r>
        <w:rPr>
          <w:rFonts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en-US" w:eastAsia="zh-CN"/>
        </w:rPr>
        <w:t>年由原社会保险事业管理中心、原机关养老保险事业管理中心、原工伤保险中心、原城乡居民养老保险中心四个机构合并成立新的蓝山县社会保险服务中心。</w:t>
      </w:r>
      <w:r>
        <w:rPr>
          <w:rFonts w:hint="eastAsia" w:ascii="Times New Roman" w:hAnsi="Times New Roman" w:eastAsia="仿宋_GB2312" w:cs="Times New Roman"/>
          <w:sz w:val="32"/>
          <w:szCs w:val="32"/>
          <w:lang w:val="en-US" w:eastAsia="zh-CN"/>
        </w:rPr>
        <w:t>蓝山县社会保险服务中心</w:t>
      </w:r>
      <w:r>
        <w:rPr>
          <w:rFonts w:ascii="Times New Roman" w:hAnsi="Times New Roman" w:eastAsia="仿宋_GB2312" w:cs="Times New Roman"/>
          <w:sz w:val="32"/>
          <w:szCs w:val="32"/>
          <w:lang w:val="en-US" w:eastAsia="zh-CN"/>
        </w:rPr>
        <w:t>为副科级全额拨款事业单位，本单位实有人数</w:t>
      </w:r>
      <w:r>
        <w:rPr>
          <w:rFonts w:hint="eastAsia" w:ascii="Times New Roman" w:hAnsi="Times New Roman" w:eastAsia="仿宋_GB2312" w:cs="Times New Roman"/>
          <w:sz w:val="32"/>
          <w:szCs w:val="32"/>
          <w:lang w:val="en-US" w:eastAsia="zh-CN"/>
        </w:rPr>
        <w:t>44</w:t>
      </w:r>
      <w:r>
        <w:rPr>
          <w:rFonts w:ascii="Times New Roman" w:hAnsi="Times New Roman" w:eastAsia="仿宋_GB2312" w:cs="Times New Roman"/>
          <w:sz w:val="32"/>
          <w:szCs w:val="32"/>
          <w:lang w:val="en-US" w:eastAsia="zh-CN"/>
        </w:rPr>
        <w:t>人，其中在编</w:t>
      </w:r>
      <w:r>
        <w:rPr>
          <w:rFonts w:hint="default" w:ascii="Times New Roman" w:hAnsi="Times New Roman" w:eastAsia="仿宋_GB2312" w:cs="Times New Roman"/>
          <w:sz w:val="32"/>
          <w:szCs w:val="32"/>
          <w:lang w:val="en" w:eastAsia="zh-CN"/>
        </w:rPr>
        <w:t>34</w:t>
      </w:r>
      <w:r>
        <w:rPr>
          <w:rFonts w:ascii="Times New Roman" w:hAnsi="Times New Roman" w:eastAsia="仿宋_GB2312" w:cs="Times New Roman"/>
          <w:sz w:val="32"/>
          <w:szCs w:val="32"/>
          <w:lang w:val="en-US" w:eastAsia="zh-CN"/>
        </w:rPr>
        <w:t>人，公益性岗位人员</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lang w:val="en-US" w:eastAsia="zh-CN"/>
        </w:rPr>
        <w:t>人。</w:t>
      </w:r>
    </w:p>
    <w:p w14:paraId="379CD12A">
      <w:pPr>
        <w:widowControl/>
        <w:numPr>
          <w:ilvl w:val="0"/>
          <w:numId w:val="2"/>
        </w:numPr>
        <w:spacing w:line="600" w:lineRule="exact"/>
        <w:ind w:left="0" w:leftChars="0" w:firstLine="0" w:firstLineChars="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决算单位构成。</w:t>
      </w:r>
    </w:p>
    <w:p w14:paraId="50962067">
      <w:pPr>
        <w:widowControl/>
        <w:numPr>
          <w:ilvl w:val="0"/>
          <w:numId w:val="0"/>
        </w:numPr>
        <w:spacing w:line="600" w:lineRule="exact"/>
        <w:ind w:leftChars="0"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2025</w:t>
      </w:r>
      <w:r>
        <w:rPr>
          <w:rFonts w:ascii="Times New Roman" w:hAnsi="Times New Roman" w:eastAsia="仿宋_GB2312" w:cs="Times New Roman"/>
          <w:bCs/>
          <w:kern w:val="0"/>
          <w:sz w:val="32"/>
          <w:szCs w:val="32"/>
        </w:rPr>
        <w:t>单位部门决算汇总公开单位构成包括：</w:t>
      </w:r>
      <w:r>
        <w:rPr>
          <w:rFonts w:hint="eastAsia" w:ascii="Times New Roman" w:hAnsi="Times New Roman" w:eastAsia="仿宋_GB2312" w:cs="Times New Roman"/>
          <w:sz w:val="32"/>
          <w:szCs w:val="32"/>
          <w:lang w:val="en-US" w:eastAsia="zh-CN"/>
        </w:rPr>
        <w:t>蓝山县社会保险服务中心单位本级</w:t>
      </w:r>
      <w:r>
        <w:rPr>
          <w:rFonts w:eastAsia="仿宋_GB2312"/>
          <w:sz w:val="32"/>
          <w:szCs w:val="32"/>
        </w:rPr>
        <w:t>。</w:t>
      </w:r>
    </w:p>
    <w:p w14:paraId="019BCA72">
      <w:pPr>
        <w:widowControl/>
        <w:spacing w:line="600" w:lineRule="exact"/>
        <w:rPr>
          <w:rFonts w:ascii="Times New Roman" w:hAnsi="Times New Roman" w:eastAsia="仿宋_GB2312" w:cs="Times New Roman"/>
          <w:bCs/>
          <w:kern w:val="0"/>
          <w:sz w:val="32"/>
          <w:szCs w:val="32"/>
        </w:rPr>
      </w:pPr>
    </w:p>
    <w:p w14:paraId="76EA270E">
      <w:pPr>
        <w:jc w:val="left"/>
        <w:rPr>
          <w:rFonts w:ascii="Times New Roman" w:hAnsi="Times New Roman" w:eastAsia="仿宋_GB2312" w:cs="Times New Roman"/>
          <w:sz w:val="28"/>
          <w:szCs w:val="32"/>
        </w:rPr>
      </w:pPr>
    </w:p>
    <w:p w14:paraId="0C194A88">
      <w:pPr>
        <w:jc w:val="both"/>
        <w:rPr>
          <w:rFonts w:ascii="Times New Roman" w:hAnsi="Times New Roman" w:eastAsia="黑体" w:cs="Times New Roman"/>
          <w:sz w:val="28"/>
          <w:szCs w:val="28"/>
        </w:rPr>
      </w:pPr>
    </w:p>
    <w:p w14:paraId="00781784">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7FD882C6">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2DEEA63">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6F64E75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61956251">
      <w:pPr>
        <w:widowControl/>
        <w:tabs>
          <w:tab w:val="left" w:pos="4442"/>
          <w:tab w:val="left" w:pos="5045"/>
          <w:tab w:val="left" w:pos="6444"/>
          <w:tab w:val="left" w:pos="11477"/>
          <w:tab w:val="left" w:pos="13102"/>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rPr>
        <w:t>蓝山县社会保险服务中心</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hint="eastAsia" w:ascii="Times New Roman" w:hAnsi="Times New Roman" w:eastAsia="仿宋_GB2312" w:cs="Times New Roman"/>
          <w:color w:val="000000"/>
          <w:sz w:val="24"/>
          <w:szCs w:val="24"/>
          <w:lang w:val="en-US" w:eastAsia="zh-CN"/>
        </w:rPr>
        <w:t xml:space="preserve">                                             </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668"/>
        <w:gridCol w:w="836"/>
        <w:gridCol w:w="1338"/>
        <w:gridCol w:w="4772"/>
        <w:gridCol w:w="836"/>
        <w:gridCol w:w="1446"/>
      </w:tblGrid>
      <w:tr w14:paraId="208D741D">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E51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A488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27824A5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512A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A56E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6E62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B998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24DE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8442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787F883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5D2F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4DA03">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5E54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1FBB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57213">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F11D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4730483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ADA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C7D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EE4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537.69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3361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46B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64B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5.3</w:t>
            </w:r>
          </w:p>
        </w:tc>
      </w:tr>
      <w:tr w14:paraId="7BC6CD5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3BA9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D73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EC7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826E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08D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C13A">
            <w:pPr>
              <w:jc w:val="right"/>
              <w:rPr>
                <w:rFonts w:ascii="Times New Roman" w:hAnsi="Times New Roman" w:eastAsia="仿宋_GB2312" w:cs="Times New Roman"/>
                <w:color w:val="000000"/>
                <w:sz w:val="22"/>
              </w:rPr>
            </w:pPr>
          </w:p>
        </w:tc>
      </w:tr>
      <w:tr w14:paraId="33E41DA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8DB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648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03D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A8EA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F41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68DA">
            <w:pPr>
              <w:jc w:val="right"/>
              <w:rPr>
                <w:rFonts w:ascii="Times New Roman" w:hAnsi="Times New Roman" w:eastAsia="仿宋_GB2312" w:cs="Times New Roman"/>
                <w:color w:val="000000"/>
                <w:sz w:val="22"/>
              </w:rPr>
            </w:pPr>
          </w:p>
        </w:tc>
      </w:tr>
      <w:tr w14:paraId="0871BC0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1DA5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2732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8FB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012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45CD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22C9">
            <w:pPr>
              <w:jc w:val="right"/>
              <w:rPr>
                <w:rFonts w:ascii="Times New Roman" w:hAnsi="Times New Roman" w:eastAsia="仿宋_GB2312" w:cs="Times New Roman"/>
                <w:color w:val="000000"/>
                <w:sz w:val="22"/>
              </w:rPr>
            </w:pPr>
          </w:p>
        </w:tc>
      </w:tr>
      <w:tr w14:paraId="3E4B30E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0AE2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7EE2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DA8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F56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0DB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2533">
            <w:pPr>
              <w:jc w:val="right"/>
              <w:rPr>
                <w:rFonts w:ascii="Times New Roman" w:hAnsi="Times New Roman" w:eastAsia="仿宋_GB2312" w:cs="Times New Roman"/>
                <w:color w:val="000000"/>
                <w:sz w:val="22"/>
              </w:rPr>
            </w:pPr>
          </w:p>
        </w:tc>
      </w:tr>
      <w:tr w14:paraId="4DA50B6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C92C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EB1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0B2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BA35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B42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B761">
            <w:pPr>
              <w:jc w:val="right"/>
              <w:rPr>
                <w:rFonts w:ascii="Times New Roman" w:hAnsi="Times New Roman" w:eastAsia="仿宋_GB2312" w:cs="Times New Roman"/>
                <w:color w:val="000000"/>
                <w:sz w:val="22"/>
              </w:rPr>
            </w:pPr>
          </w:p>
        </w:tc>
      </w:tr>
      <w:tr w14:paraId="45B42A3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B188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4E8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CF5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08EA">
            <w:pPr>
              <w:widowControl/>
              <w:jc w:val="left"/>
              <w:textAlignment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kern w:val="0"/>
                <w:sz w:val="22"/>
                <w:lang w:eastAsia="zh-CN" w:bidi="ar"/>
              </w:rPr>
              <w:t>七、文化旅游体育和传媒支出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415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C3151">
            <w:pPr>
              <w:jc w:val="right"/>
              <w:rPr>
                <w:rFonts w:ascii="Times New Roman" w:hAnsi="Times New Roman" w:eastAsia="仿宋_GB2312" w:cs="Times New Roman"/>
                <w:color w:val="000000"/>
                <w:sz w:val="22"/>
              </w:rPr>
            </w:pPr>
          </w:p>
        </w:tc>
      </w:tr>
      <w:tr w14:paraId="33BA128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A64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77D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F54E">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BAAC">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940A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CC9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512.46</w:t>
            </w:r>
          </w:p>
        </w:tc>
      </w:tr>
      <w:tr w14:paraId="7A6553A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0759A">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AD12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F75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F489">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726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DECB">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val="0"/>
                <w:bCs/>
                <w:color w:val="000000"/>
                <w:sz w:val="22"/>
                <w:lang w:val="en-US" w:eastAsia="zh-CN"/>
              </w:rPr>
              <w:t>19.92</w:t>
            </w:r>
          </w:p>
        </w:tc>
      </w:tr>
      <w:tr w14:paraId="3291DB4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DC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27F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9E3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CD2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7BE6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F512">
            <w:pPr>
              <w:rPr>
                <w:rFonts w:ascii="Times New Roman" w:hAnsi="Times New Roman" w:eastAsia="仿宋_GB2312" w:cs="Times New Roman"/>
                <w:color w:val="000000"/>
                <w:sz w:val="22"/>
              </w:rPr>
            </w:pPr>
          </w:p>
        </w:tc>
      </w:tr>
      <w:tr w14:paraId="6FCA9E6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4A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7B5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2F9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15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FF4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19E0">
            <w:pPr>
              <w:rPr>
                <w:rFonts w:ascii="Times New Roman" w:hAnsi="Times New Roman" w:eastAsia="仿宋_GB2312" w:cs="Times New Roman"/>
                <w:color w:val="000000"/>
                <w:sz w:val="22"/>
              </w:rPr>
            </w:pPr>
          </w:p>
        </w:tc>
      </w:tr>
      <w:tr w14:paraId="2382250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06B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D73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B1C3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DC0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E9B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BC32E">
            <w:pPr>
              <w:rPr>
                <w:rFonts w:ascii="Times New Roman" w:hAnsi="Times New Roman" w:eastAsia="仿宋_GB2312" w:cs="Times New Roman"/>
                <w:color w:val="000000"/>
                <w:sz w:val="22"/>
              </w:rPr>
            </w:pPr>
          </w:p>
        </w:tc>
      </w:tr>
      <w:tr w14:paraId="44C4D8E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053F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83F5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21F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537.69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4200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268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D9B29">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537.69</w:t>
            </w:r>
          </w:p>
        </w:tc>
      </w:tr>
    </w:tbl>
    <w:p w14:paraId="13448311">
      <w:pPr>
        <w:widowControl/>
        <w:jc w:val="left"/>
        <w:textAlignment w:val="center"/>
        <w:rPr>
          <w:rFonts w:ascii="Times New Roman" w:hAnsi="Times New Roman" w:eastAsia="宋体" w:cs="Times New Roman"/>
          <w:color w:val="000000"/>
          <w:kern w:val="0"/>
          <w:sz w:val="24"/>
          <w:szCs w:val="24"/>
          <w:lang w:bidi="ar"/>
        </w:rPr>
      </w:pPr>
    </w:p>
    <w:p w14:paraId="1B3A426D">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1DD98B9D">
      <w:pPr>
        <w:jc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2F4BDA6C">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7D15257">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7F744603">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B7374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B95CD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D336C5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3B339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62F8E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26620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23302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E7587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288279A9">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F0DF0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8D750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4C2659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8F12E1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79AEB3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E2B222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033E1C3">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DD0EB38">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A1E3BC6">
            <w:pPr>
              <w:rPr>
                <w:rFonts w:ascii="Times New Roman" w:hAnsi="Times New Roman" w:eastAsia="仿宋_GB2312" w:cs="Times New Roman"/>
                <w:sz w:val="24"/>
                <w:szCs w:val="24"/>
              </w:rPr>
            </w:pPr>
          </w:p>
        </w:tc>
      </w:tr>
      <w:tr w14:paraId="5952A116">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0923D5CE">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4C77BAC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3099D9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DF1B1A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09885C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87719B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31F165C">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748EF02">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4CB6D41">
            <w:pPr>
              <w:rPr>
                <w:rFonts w:ascii="Times New Roman" w:hAnsi="Times New Roman" w:eastAsia="仿宋_GB2312" w:cs="Times New Roman"/>
                <w:sz w:val="24"/>
                <w:szCs w:val="24"/>
              </w:rPr>
            </w:pPr>
          </w:p>
        </w:tc>
      </w:tr>
      <w:tr w14:paraId="5A8CD2EE">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92CD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EC9790">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76C3B3">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5AA460">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A16F41">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82B859">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3EB0D3">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CCD4E">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0F74E0F1">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06B44">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40BF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537.69</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027B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537.69</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99EF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4A50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A1EB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1BD1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ABF8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3F99B0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185EA1">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1677A7">
            <w:pPr>
              <w:rPr>
                <w:rFonts w:ascii="Times New Roman" w:hAnsi="Times New Roman" w:eastAsia="仿宋_GB2312" w:cs="Times New Roman"/>
                <w:sz w:val="24"/>
                <w:szCs w:val="24"/>
              </w:rPr>
            </w:pPr>
            <w:r>
              <w:rPr>
                <w:rFonts w:hint="eastAsia" w:ascii="Times New Roman" w:hAnsi="Times New Roman" w:eastAsia="仿宋_GB2312" w:cs="Times New Roman"/>
                <w:lang w:eastAsia="zh-CN"/>
              </w:rPr>
              <w:t>一般公共服务支出</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8E16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3274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D285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C363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0BE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12BB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0AE0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B0EEAA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E06B81">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208</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39B4C4">
            <w:pPr>
              <w:rPr>
                <w:rFonts w:ascii="Times New Roman" w:hAnsi="Times New Roman" w:eastAsia="仿宋_GB2312" w:cs="Times New Roman"/>
                <w:sz w:val="24"/>
                <w:szCs w:val="24"/>
              </w:rPr>
            </w:pPr>
            <w:r>
              <w:rPr>
                <w:rFonts w:hint="eastAsia" w:ascii="Times New Roman" w:hAnsi="Times New Roman" w:eastAsia="仿宋_GB2312" w:cs="Times New Roman"/>
                <w:lang w:eastAsia="zh-CN"/>
              </w:rPr>
              <w:t>社会保障和就业支出</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4537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512.46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9D16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512.46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5212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D47D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5115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40A0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2D28A">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01B31C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1E6D7">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210</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6BD05">
            <w:pP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4D464">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19.92</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EA36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19.92</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906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9C5EF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1CA0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D0D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437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81669D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E4BB9D">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59D1B2">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10EC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2652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D8E5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DD76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D8DE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F732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A410D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F23229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60FD4D">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48E5F">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7DAF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A6FB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0DD8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E935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A1D4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8125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6D3BF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97A27C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74CBBF">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EBE4E8">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D3A0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B1FE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C7D4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9246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7AC7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77AD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B6F09">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6AA4AF0C">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4661DDD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136DD56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21DACA26">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10BA22D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8" w:type="pct"/>
        <w:jc w:val="center"/>
        <w:tblLayout w:type="autofit"/>
        <w:tblCellMar>
          <w:top w:w="0" w:type="dxa"/>
          <w:left w:w="108" w:type="dxa"/>
          <w:bottom w:w="0" w:type="dxa"/>
          <w:right w:w="108" w:type="dxa"/>
        </w:tblCellMar>
      </w:tblPr>
      <w:tblGrid>
        <w:gridCol w:w="2275"/>
        <w:gridCol w:w="2376"/>
        <w:gridCol w:w="1728"/>
        <w:gridCol w:w="1185"/>
        <w:gridCol w:w="1186"/>
        <w:gridCol w:w="1729"/>
        <w:gridCol w:w="1186"/>
        <w:gridCol w:w="2549"/>
      </w:tblGrid>
      <w:tr w14:paraId="07BAD8DB">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9D35BA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D38E2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C19DF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D4CC2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3112F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73649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0E3F3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DA7902F">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1D8AB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4A814D2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1FA4D02">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DDD78E0">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D2EB64A">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4E31FDA">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92E48D3">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933DC4D">
            <w:pPr>
              <w:widowControl/>
              <w:jc w:val="left"/>
              <w:rPr>
                <w:rFonts w:ascii="Times New Roman" w:hAnsi="Times New Roman" w:eastAsia="仿宋_GB2312" w:cs="Times New Roman"/>
                <w:b/>
                <w:bCs/>
                <w:kern w:val="0"/>
                <w:sz w:val="24"/>
                <w:szCs w:val="24"/>
              </w:rPr>
            </w:pPr>
          </w:p>
        </w:tc>
      </w:tr>
      <w:tr w14:paraId="2FF0B7AF">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33227E27">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12538BCC">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3DDD7AB">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C390B45">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B6D7201">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D42229F">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1CEF02C">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9A26BBA">
            <w:pPr>
              <w:widowControl/>
              <w:jc w:val="left"/>
              <w:rPr>
                <w:rFonts w:ascii="Times New Roman" w:hAnsi="Times New Roman" w:eastAsia="仿宋_GB2312" w:cs="Times New Roman"/>
                <w:kern w:val="0"/>
                <w:sz w:val="24"/>
                <w:szCs w:val="24"/>
              </w:rPr>
            </w:pPr>
          </w:p>
        </w:tc>
      </w:tr>
      <w:tr w14:paraId="3A2E1760">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85DBB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1ABEF6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04A2281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03A05A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6D4AE96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0B9F8C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1C32B0E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DC98F0D">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ED49D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56222A5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537.69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5E0B20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450.48</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758F5E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87.21</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A97AEC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B843C2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4CD2AF6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8298ED5">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21094A">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201</w:t>
            </w:r>
          </w:p>
        </w:tc>
        <w:tc>
          <w:tcPr>
            <w:tcW w:w="469" w:type="pct"/>
            <w:tcBorders>
              <w:top w:val="nil"/>
              <w:left w:val="nil"/>
              <w:bottom w:val="single" w:color="auto" w:sz="4" w:space="0"/>
              <w:right w:val="single" w:color="auto" w:sz="4" w:space="0"/>
            </w:tcBorders>
            <w:shd w:val="clear" w:color="000000" w:fill="FFFFFF"/>
            <w:noWrap/>
            <w:vAlign w:val="center"/>
          </w:tcPr>
          <w:p w14:paraId="28A532DF">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257ED5F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2B79FD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3.95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942EEB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1.35</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F652B2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ED7C53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3AE671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AA3CAAF">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B2B3B8">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208</w:t>
            </w:r>
          </w:p>
        </w:tc>
        <w:tc>
          <w:tcPr>
            <w:tcW w:w="469" w:type="pct"/>
            <w:tcBorders>
              <w:top w:val="nil"/>
              <w:left w:val="nil"/>
              <w:bottom w:val="single" w:color="auto" w:sz="4" w:space="0"/>
              <w:right w:val="single" w:color="auto" w:sz="4" w:space="0"/>
            </w:tcBorders>
            <w:shd w:val="clear" w:color="000000" w:fill="FFFFFF"/>
            <w:noWrap/>
            <w:vAlign w:val="center"/>
          </w:tcPr>
          <w:p w14:paraId="34767BC8">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社会保障和就业支出</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DF0546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512.46</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E1EE24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426.6</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5DC948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85.86</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E7C605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8BFA7E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C09D77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345DF4D">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C051D6">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210</w:t>
            </w:r>
          </w:p>
        </w:tc>
        <w:tc>
          <w:tcPr>
            <w:tcW w:w="469" w:type="pct"/>
            <w:tcBorders>
              <w:top w:val="nil"/>
              <w:left w:val="nil"/>
              <w:bottom w:val="single" w:color="auto" w:sz="4" w:space="0"/>
              <w:right w:val="single" w:color="auto" w:sz="4" w:space="0"/>
            </w:tcBorders>
            <w:shd w:val="clear" w:color="000000" w:fill="FFFFFF"/>
            <w:noWrap/>
            <w:vAlign w:val="center"/>
          </w:tcPr>
          <w:p w14:paraId="1D7C2F1F">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卫生健康支出</w:t>
            </w:r>
          </w:p>
        </w:tc>
        <w:tc>
          <w:tcPr>
            <w:tcW w:w="660" w:type="pct"/>
            <w:tcBorders>
              <w:top w:val="nil"/>
              <w:left w:val="nil"/>
              <w:bottom w:val="single" w:color="auto" w:sz="4" w:space="0"/>
              <w:right w:val="single" w:color="auto" w:sz="4" w:space="0"/>
            </w:tcBorders>
            <w:shd w:val="clear" w:color="auto" w:fill="auto"/>
            <w:noWrap/>
            <w:vAlign w:val="center"/>
          </w:tcPr>
          <w:p w14:paraId="7CB5DCE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19.92</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244AF5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19.92</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C78C18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592B82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5B2465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CAE03F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D055746">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9E97C3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21630E70">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DB2D1C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E500E2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E4EBF9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D8034A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45268B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66A5B8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D99CF54">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9A3900">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521F5D3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7F9B0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C26996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91889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525CFD8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75BD11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543554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AE0D721">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05A03C4">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000000" w:fill="FFFFFF"/>
            <w:noWrap/>
            <w:vAlign w:val="center"/>
          </w:tcPr>
          <w:p w14:paraId="567AE2C0">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nil"/>
              <w:right w:val="single" w:color="auto" w:sz="4" w:space="0"/>
            </w:tcBorders>
            <w:shd w:val="clear" w:color="auto" w:fill="auto"/>
            <w:noWrap/>
            <w:vAlign w:val="center"/>
          </w:tcPr>
          <w:p w14:paraId="5F6686C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5F83DB1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2BDB4C1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nil"/>
              <w:right w:val="single" w:color="auto" w:sz="4" w:space="0"/>
            </w:tcBorders>
            <w:shd w:val="clear" w:color="auto" w:fill="auto"/>
            <w:noWrap/>
            <w:vAlign w:val="center"/>
          </w:tcPr>
          <w:p w14:paraId="24A4AC8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79CDB3A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nil"/>
              <w:right w:val="single" w:color="auto" w:sz="4" w:space="0"/>
            </w:tcBorders>
            <w:shd w:val="clear" w:color="auto" w:fill="auto"/>
            <w:noWrap/>
            <w:vAlign w:val="center"/>
          </w:tcPr>
          <w:p w14:paraId="5CA2330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403B14B">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E799968">
            <w:pPr>
              <w:widowControl/>
              <w:jc w:val="lef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000000" w:fill="FFFFFF"/>
            <w:noWrap/>
            <w:vAlign w:val="center"/>
          </w:tcPr>
          <w:p w14:paraId="66DE2DF7">
            <w:pPr>
              <w:widowControl/>
              <w:jc w:val="lef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4BC3A3CC">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0779A088">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0635C1B1">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7A600311">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4BE53C8">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069F8511">
            <w:pPr>
              <w:widowControl/>
              <w:jc w:val="right"/>
              <w:rPr>
                <w:rFonts w:ascii="Times New Roman" w:hAnsi="Times New Roman" w:eastAsia="仿宋_GB2312" w:cs="Times New Roman"/>
                <w:kern w:val="0"/>
                <w:sz w:val="24"/>
                <w:szCs w:val="24"/>
              </w:rPr>
            </w:pPr>
          </w:p>
        </w:tc>
      </w:tr>
    </w:tbl>
    <w:p w14:paraId="6AB2FAD1">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0602F11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0A14FEBD">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B776DD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5AFE800A">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62F5C057">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986"/>
        <w:gridCol w:w="2636"/>
        <w:gridCol w:w="616"/>
        <w:gridCol w:w="986"/>
        <w:gridCol w:w="1687"/>
        <w:gridCol w:w="1821"/>
        <w:gridCol w:w="1356"/>
      </w:tblGrid>
      <w:tr w14:paraId="4B96D587">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91DAD6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170F121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584EC72">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1E6A0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24B240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F4909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25A1E9A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446CD40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2BE410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26D7089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2BB704E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44F5539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0C3045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AEBC8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5414CAA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DFD384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5714E53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53052F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1302F6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2DF80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31BB00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DD746C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6BEB83B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D78D20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7AE734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C5BB46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537.69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700957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624181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003F4DC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3C6DF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52E79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0E0666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DA3660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D34E89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B57D7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15A2159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13F77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528E1D3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7F5EA9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4B336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686A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C384A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7D62AB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334BA7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39EE6A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60F3D6F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C42C4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22C402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3414174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0668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8A88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2316B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11D1D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79A21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AA604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3CA0062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641D9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5919AF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6AEC29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BC94F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B993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1B615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B12805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113BF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E1AF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6F71527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F7725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6DB3D7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309B37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CE19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9A54A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AADCB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1FBBBC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EAD74C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47774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7F04090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26658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color w:val="000000"/>
                <w:kern w:val="0"/>
                <w:sz w:val="22"/>
                <w:lang w:eastAsia="zh-CN" w:bidi="ar"/>
              </w:rPr>
              <w:t>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130F1D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1A6B249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512.46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2EE1895">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512.46</w:t>
            </w:r>
          </w:p>
        </w:tc>
        <w:tc>
          <w:tcPr>
            <w:tcW w:w="0" w:type="auto"/>
            <w:tcBorders>
              <w:top w:val="nil"/>
              <w:left w:val="nil"/>
              <w:bottom w:val="single" w:color="auto" w:sz="4" w:space="0"/>
              <w:right w:val="single" w:color="auto" w:sz="4" w:space="0"/>
            </w:tcBorders>
            <w:shd w:val="clear" w:color="auto" w:fill="auto"/>
            <w:noWrap/>
            <w:vAlign w:val="center"/>
          </w:tcPr>
          <w:p w14:paraId="7B41C7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2A783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E7B9C7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DE1D87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71A0A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775D9FA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8FB088">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七、卫生健康支出</w:t>
            </w:r>
          </w:p>
        </w:tc>
        <w:tc>
          <w:tcPr>
            <w:tcW w:w="0" w:type="auto"/>
            <w:tcBorders>
              <w:top w:val="nil"/>
              <w:left w:val="nil"/>
              <w:bottom w:val="single" w:color="auto" w:sz="4" w:space="0"/>
              <w:right w:val="single" w:color="auto" w:sz="4" w:space="0"/>
            </w:tcBorders>
            <w:shd w:val="clear" w:color="auto" w:fill="auto"/>
            <w:noWrap/>
            <w:vAlign w:val="center"/>
          </w:tcPr>
          <w:p w14:paraId="5CF08E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4B11FF8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19.92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0EA0DA">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19.92</w:t>
            </w:r>
          </w:p>
        </w:tc>
        <w:tc>
          <w:tcPr>
            <w:tcW w:w="0" w:type="auto"/>
            <w:tcBorders>
              <w:top w:val="nil"/>
              <w:left w:val="nil"/>
              <w:bottom w:val="single" w:color="auto" w:sz="4" w:space="0"/>
              <w:right w:val="single" w:color="auto" w:sz="4" w:space="0"/>
            </w:tcBorders>
            <w:shd w:val="clear" w:color="auto" w:fill="auto"/>
            <w:noWrap/>
            <w:vAlign w:val="center"/>
          </w:tcPr>
          <w:p w14:paraId="4EE791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74D25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716E7C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5C2FA0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4931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2C3A084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4B0D3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8114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7FB223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9237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0F957F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CC79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87FF1C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CBAAB8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5600C6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361AC54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537.69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B6FB49">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542C4B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08B8CC7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537.69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B2349B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537.69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679A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C3FC53">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35642F3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FE254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5244A3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02BDD66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E4412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19131ED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5E94152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D50693">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w:t>
            </w:r>
          </w:p>
        </w:tc>
        <w:tc>
          <w:tcPr>
            <w:tcW w:w="0" w:type="auto"/>
            <w:tcBorders>
              <w:top w:val="nil"/>
              <w:left w:val="nil"/>
              <w:bottom w:val="single" w:color="auto" w:sz="4" w:space="0"/>
              <w:right w:val="single" w:color="auto" w:sz="4" w:space="0"/>
            </w:tcBorders>
            <w:shd w:val="clear" w:color="auto" w:fill="auto"/>
            <w:noWrap/>
            <w:vAlign w:val="center"/>
          </w:tcPr>
          <w:p w14:paraId="64F0B4F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00B55B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C5341B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D8175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09F0A5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7C9977E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3CE7C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2410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6DE75F9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0774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D9394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56E4C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E6E9F1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12E13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ADF6F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24C9936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BD616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AFDB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6F4BE00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00B3F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E3327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2C8CE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3DCE64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2154C9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92D31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736FE8E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C1AC3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69AE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28F61A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8B91E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0A70C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79DB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3B9937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CD6BD0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B29EF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136CD36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537.69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4B45329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09CBA5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2C1060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20EA1F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537.69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2FE5B4">
            <w:pPr>
              <w:widowControl/>
              <w:jc w:val="left"/>
              <w:rPr>
                <w:rFonts w:hint="default" w:ascii="Times New Roman" w:hAnsi="Times New Roman" w:eastAsia="仿宋_GB2312" w:cs="Times New Roman"/>
                <w:b/>
                <w:bCs/>
                <w:kern w:val="0"/>
                <w:sz w:val="22"/>
                <w:lang w:val="en-US" w:eastAsia="zh-CN"/>
              </w:rPr>
            </w:pPr>
            <w:r>
              <w:rPr>
                <w:rFonts w:ascii="Times New Roman" w:hAnsi="Times New Roman" w:eastAsia="仿宋_GB2312" w:cs="Times New Roman"/>
                <w:b/>
                <w:bCs/>
                <w:kern w:val="0"/>
                <w:sz w:val="22"/>
              </w:rPr>
              <w:t>　</w:t>
            </w:r>
            <w:r>
              <w:rPr>
                <w:rFonts w:hint="eastAsia" w:ascii="Times New Roman" w:hAnsi="Times New Roman" w:eastAsia="仿宋_GB2312" w:cs="Times New Roman"/>
                <w:b/>
                <w:bCs/>
                <w:kern w:val="0"/>
                <w:sz w:val="22"/>
                <w:lang w:val="en-US" w:eastAsia="zh-CN"/>
              </w:rPr>
              <w:t>537.69</w:t>
            </w:r>
          </w:p>
        </w:tc>
        <w:tc>
          <w:tcPr>
            <w:tcW w:w="0" w:type="auto"/>
            <w:tcBorders>
              <w:top w:val="nil"/>
              <w:left w:val="nil"/>
              <w:bottom w:val="single" w:color="auto" w:sz="4" w:space="0"/>
              <w:right w:val="single" w:color="auto" w:sz="4" w:space="0"/>
            </w:tcBorders>
            <w:shd w:val="clear" w:color="auto" w:fill="auto"/>
            <w:noWrap/>
            <w:vAlign w:val="center"/>
          </w:tcPr>
          <w:p w14:paraId="48C951DD">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7102399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2679F8EB">
      <w:pPr>
        <w:widowControl/>
        <w:jc w:val="center"/>
        <w:rPr>
          <w:rFonts w:ascii="Times New Roman" w:hAnsi="Times New Roman" w:eastAsia="方正小标宋_GBK" w:cs="Times New Roman"/>
          <w:kern w:val="0"/>
          <w:sz w:val="36"/>
          <w:szCs w:val="36"/>
        </w:rPr>
      </w:pPr>
    </w:p>
    <w:p w14:paraId="596F670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8D91B0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2E35EE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C89035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17055B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FCFA38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38A85E50">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251DE4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30026DD">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97DE2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1D1F6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1B816C8">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833DFD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14FC5A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52328F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5B615A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325301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5865F7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DC0D9B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755477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F69B6C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43914D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658C806">
            <w:pPr>
              <w:widowControl/>
              <w:jc w:val="left"/>
              <w:rPr>
                <w:rFonts w:ascii="Times New Roman" w:hAnsi="Times New Roman" w:eastAsia="仿宋_GB2312" w:cs="Times New Roman"/>
                <w:kern w:val="0"/>
                <w:szCs w:val="21"/>
              </w:rPr>
            </w:pPr>
          </w:p>
        </w:tc>
      </w:tr>
      <w:tr w14:paraId="669BF2A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DFC71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601B8F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A13D76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4E93BF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2B809C4">
            <w:pPr>
              <w:widowControl/>
              <w:jc w:val="left"/>
              <w:rPr>
                <w:rFonts w:ascii="Times New Roman" w:hAnsi="Times New Roman" w:eastAsia="仿宋_GB2312" w:cs="Times New Roman"/>
                <w:kern w:val="0"/>
                <w:szCs w:val="21"/>
              </w:rPr>
            </w:pPr>
          </w:p>
        </w:tc>
      </w:tr>
      <w:tr w14:paraId="4ABF92C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9F0D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F5EC5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69BAF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56614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0C99C5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24E80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7AC6A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5713AD3">
            <w:pPr>
              <w:widowControl/>
              <w:tabs>
                <w:tab w:val="left" w:pos="277"/>
                <w:tab w:val="center" w:pos="1803"/>
              </w:tabs>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ab/>
            </w:r>
            <w:r>
              <w:rPr>
                <w:rFonts w:hint="eastAsia" w:ascii="Times New Roman" w:hAnsi="Times New Roman" w:eastAsia="仿宋_GB2312" w:cs="Times New Roman"/>
                <w:kern w:val="0"/>
                <w:szCs w:val="21"/>
                <w:lang w:eastAsia="zh-CN"/>
              </w:rPr>
              <w:tab/>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79736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AD8AE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AF5F7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2EA08CD2">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216ADDA">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5.3</w:t>
            </w:r>
          </w:p>
        </w:tc>
        <w:tc>
          <w:tcPr>
            <w:tcW w:w="3492" w:type="dxa"/>
            <w:tcBorders>
              <w:top w:val="nil"/>
              <w:left w:val="nil"/>
              <w:bottom w:val="single" w:color="auto" w:sz="4" w:space="0"/>
              <w:right w:val="single" w:color="auto" w:sz="4" w:space="0"/>
            </w:tcBorders>
            <w:shd w:val="clear" w:color="auto" w:fill="auto"/>
            <w:vAlign w:val="center"/>
          </w:tcPr>
          <w:p w14:paraId="6FC89D6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3.95</w:t>
            </w:r>
          </w:p>
        </w:tc>
        <w:tc>
          <w:tcPr>
            <w:tcW w:w="3000" w:type="dxa"/>
            <w:tcBorders>
              <w:top w:val="nil"/>
              <w:left w:val="nil"/>
              <w:bottom w:val="single" w:color="auto" w:sz="4" w:space="0"/>
              <w:right w:val="single" w:color="auto" w:sz="8" w:space="0"/>
            </w:tcBorders>
            <w:shd w:val="clear" w:color="auto" w:fill="auto"/>
            <w:vAlign w:val="center"/>
          </w:tcPr>
          <w:p w14:paraId="1BB5E04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1.35</w:t>
            </w:r>
          </w:p>
        </w:tc>
      </w:tr>
      <w:tr w14:paraId="57F6B2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F161D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12456386">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D69680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512.46</w:t>
            </w:r>
          </w:p>
        </w:tc>
        <w:tc>
          <w:tcPr>
            <w:tcW w:w="3492" w:type="dxa"/>
            <w:tcBorders>
              <w:top w:val="nil"/>
              <w:left w:val="nil"/>
              <w:bottom w:val="single" w:color="auto" w:sz="4" w:space="0"/>
              <w:right w:val="single" w:color="auto" w:sz="4" w:space="0"/>
            </w:tcBorders>
            <w:shd w:val="clear" w:color="auto" w:fill="auto"/>
            <w:vAlign w:val="center"/>
          </w:tcPr>
          <w:p w14:paraId="4AB98DDA">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426.6</w:t>
            </w:r>
          </w:p>
        </w:tc>
        <w:tc>
          <w:tcPr>
            <w:tcW w:w="3000" w:type="dxa"/>
            <w:tcBorders>
              <w:top w:val="nil"/>
              <w:left w:val="nil"/>
              <w:bottom w:val="single" w:color="auto" w:sz="4" w:space="0"/>
              <w:right w:val="single" w:color="auto" w:sz="8" w:space="0"/>
            </w:tcBorders>
            <w:shd w:val="clear" w:color="auto" w:fill="auto"/>
            <w:vAlign w:val="center"/>
          </w:tcPr>
          <w:p w14:paraId="70F26D1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85.86</w:t>
            </w:r>
          </w:p>
        </w:tc>
      </w:tr>
      <w:tr w14:paraId="3B49A1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9936C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210</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2AFB4B2A">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0F79E8CF">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19.92</w:t>
            </w:r>
          </w:p>
        </w:tc>
        <w:tc>
          <w:tcPr>
            <w:tcW w:w="3492" w:type="dxa"/>
            <w:tcBorders>
              <w:top w:val="nil"/>
              <w:left w:val="nil"/>
              <w:bottom w:val="single" w:color="auto" w:sz="4" w:space="0"/>
              <w:right w:val="single" w:color="auto" w:sz="4" w:space="0"/>
            </w:tcBorders>
            <w:shd w:val="clear" w:color="auto" w:fill="auto"/>
            <w:vAlign w:val="center"/>
          </w:tcPr>
          <w:p w14:paraId="3B61634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19.92</w:t>
            </w:r>
          </w:p>
        </w:tc>
        <w:tc>
          <w:tcPr>
            <w:tcW w:w="3000" w:type="dxa"/>
            <w:tcBorders>
              <w:top w:val="nil"/>
              <w:left w:val="nil"/>
              <w:bottom w:val="single" w:color="auto" w:sz="4" w:space="0"/>
              <w:right w:val="single" w:color="auto" w:sz="8" w:space="0"/>
            </w:tcBorders>
            <w:shd w:val="clear" w:color="auto" w:fill="auto"/>
            <w:vAlign w:val="center"/>
          </w:tcPr>
          <w:p w14:paraId="18A859B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60B7B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5CAF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B6677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002021F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2EEB1D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EE859A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D446F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36994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F65A3D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710A8A1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72E0795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D4CB3C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56620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2CDE2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2A3012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002743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16556E0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06EDE03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5C49C397">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32ED257C">
      <w:pPr>
        <w:widowControl/>
        <w:jc w:val="left"/>
        <w:rPr>
          <w:rFonts w:ascii="Times New Roman" w:hAnsi="Times New Roman" w:eastAsia="仿宋_GB2312" w:cs="Times New Roman"/>
          <w:bCs/>
          <w:kern w:val="0"/>
          <w:szCs w:val="21"/>
        </w:rPr>
      </w:pPr>
    </w:p>
    <w:p w14:paraId="7B8F9AA3">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1484B2AE">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444C229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仿宋_GB2312" w:cs="Times New Roman"/>
          <w:color w:val="000000"/>
          <w:kern w:val="0"/>
          <w:szCs w:val="21"/>
        </w:rPr>
        <w:t xml:space="preserve">                                                                                    公开06表</w:t>
      </w:r>
    </w:p>
    <w:p w14:paraId="62578AE6">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FB891F9">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5820648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00B1786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6A228C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1D30EB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9BCE7B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90FA55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1186ABA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8339CB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4A8AA5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9740E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84D5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5830E9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59D4CA43">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391.44</w:t>
            </w:r>
          </w:p>
        </w:tc>
        <w:tc>
          <w:tcPr>
            <w:tcW w:w="1116" w:type="dxa"/>
            <w:tcBorders>
              <w:top w:val="nil"/>
              <w:left w:val="nil"/>
              <w:bottom w:val="single" w:color="auto" w:sz="4" w:space="0"/>
              <w:right w:val="single" w:color="auto" w:sz="4" w:space="0"/>
            </w:tcBorders>
            <w:shd w:val="clear" w:color="auto" w:fill="auto"/>
            <w:noWrap/>
            <w:vAlign w:val="center"/>
          </w:tcPr>
          <w:p w14:paraId="26336B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55B7B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AFB0294">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58.91</w:t>
            </w:r>
          </w:p>
        </w:tc>
        <w:tc>
          <w:tcPr>
            <w:tcW w:w="1217" w:type="dxa"/>
            <w:tcBorders>
              <w:top w:val="nil"/>
              <w:left w:val="nil"/>
              <w:bottom w:val="single" w:color="auto" w:sz="4" w:space="0"/>
              <w:right w:val="single" w:color="auto" w:sz="4" w:space="0"/>
            </w:tcBorders>
            <w:shd w:val="clear" w:color="auto" w:fill="auto"/>
            <w:noWrap/>
            <w:vAlign w:val="center"/>
          </w:tcPr>
          <w:p w14:paraId="3C7616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4A8905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E61A8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0035D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5E89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7BDC88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0CE72E7D">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166.04</w:t>
            </w:r>
          </w:p>
        </w:tc>
        <w:tc>
          <w:tcPr>
            <w:tcW w:w="1116" w:type="dxa"/>
            <w:tcBorders>
              <w:top w:val="nil"/>
              <w:left w:val="nil"/>
              <w:bottom w:val="single" w:color="auto" w:sz="4" w:space="0"/>
              <w:right w:val="single" w:color="auto" w:sz="4" w:space="0"/>
            </w:tcBorders>
            <w:shd w:val="clear" w:color="auto" w:fill="auto"/>
            <w:noWrap/>
            <w:vAlign w:val="center"/>
          </w:tcPr>
          <w:p w14:paraId="560F29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141C3C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7E82D357">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9.26</w:t>
            </w:r>
          </w:p>
        </w:tc>
        <w:tc>
          <w:tcPr>
            <w:tcW w:w="1217" w:type="dxa"/>
            <w:tcBorders>
              <w:top w:val="nil"/>
              <w:left w:val="nil"/>
              <w:bottom w:val="single" w:color="auto" w:sz="4" w:space="0"/>
              <w:right w:val="single" w:color="auto" w:sz="4" w:space="0"/>
            </w:tcBorders>
            <w:shd w:val="clear" w:color="auto" w:fill="auto"/>
            <w:noWrap/>
            <w:vAlign w:val="center"/>
          </w:tcPr>
          <w:p w14:paraId="446C2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46DE43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16DDCA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1EE04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1747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4E4C33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0FF8B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DF5F7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254EE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6D0259F3">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6.28</w:t>
            </w:r>
          </w:p>
        </w:tc>
        <w:tc>
          <w:tcPr>
            <w:tcW w:w="1217" w:type="dxa"/>
            <w:tcBorders>
              <w:top w:val="nil"/>
              <w:left w:val="nil"/>
              <w:bottom w:val="single" w:color="auto" w:sz="4" w:space="0"/>
              <w:right w:val="single" w:color="auto" w:sz="4" w:space="0"/>
            </w:tcBorders>
            <w:shd w:val="clear" w:color="auto" w:fill="auto"/>
            <w:noWrap/>
            <w:vAlign w:val="center"/>
          </w:tcPr>
          <w:p w14:paraId="7C350B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55F0AE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1981CA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7458E0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AF3F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211E21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19BA1408">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49.92</w:t>
            </w:r>
          </w:p>
        </w:tc>
        <w:tc>
          <w:tcPr>
            <w:tcW w:w="1116" w:type="dxa"/>
            <w:tcBorders>
              <w:top w:val="nil"/>
              <w:left w:val="nil"/>
              <w:bottom w:val="single" w:color="auto" w:sz="4" w:space="0"/>
              <w:right w:val="single" w:color="auto" w:sz="4" w:space="0"/>
            </w:tcBorders>
            <w:shd w:val="clear" w:color="auto" w:fill="auto"/>
            <w:noWrap/>
            <w:vAlign w:val="center"/>
          </w:tcPr>
          <w:p w14:paraId="5A3DC7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65EEC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87FB8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0B76E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4175A7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3B975A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0DF32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6757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1D7063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524439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809EB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526EEC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755C48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0DF63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AA95B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20313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83421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7B73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95F57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0108D985">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71.06</w:t>
            </w:r>
          </w:p>
        </w:tc>
        <w:tc>
          <w:tcPr>
            <w:tcW w:w="1116" w:type="dxa"/>
            <w:tcBorders>
              <w:top w:val="nil"/>
              <w:left w:val="nil"/>
              <w:bottom w:val="single" w:color="auto" w:sz="4" w:space="0"/>
              <w:right w:val="single" w:color="auto" w:sz="4" w:space="0"/>
            </w:tcBorders>
            <w:shd w:val="clear" w:color="auto" w:fill="auto"/>
            <w:noWrap/>
            <w:vAlign w:val="center"/>
          </w:tcPr>
          <w:p w14:paraId="1C483F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3EF30F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EF1FB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85B2C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31F223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11EED4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CB8D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CD8A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AC583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399C401A">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41.63</w:t>
            </w:r>
          </w:p>
        </w:tc>
        <w:tc>
          <w:tcPr>
            <w:tcW w:w="1116" w:type="dxa"/>
            <w:tcBorders>
              <w:top w:val="nil"/>
              <w:left w:val="nil"/>
              <w:bottom w:val="single" w:color="auto" w:sz="4" w:space="0"/>
              <w:right w:val="single" w:color="auto" w:sz="4" w:space="0"/>
            </w:tcBorders>
            <w:shd w:val="clear" w:color="auto" w:fill="auto"/>
            <w:noWrap/>
            <w:vAlign w:val="center"/>
          </w:tcPr>
          <w:p w14:paraId="06D296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344A55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77E56C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DB831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1E20D6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024BDA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5789A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DE85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CE134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7075C9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A6164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46F6A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7CABC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F7F0E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003E8B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6D9257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E8BBC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1D1D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92B7F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301D6B6">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19.92</w:t>
            </w:r>
          </w:p>
        </w:tc>
        <w:tc>
          <w:tcPr>
            <w:tcW w:w="1116" w:type="dxa"/>
            <w:tcBorders>
              <w:top w:val="nil"/>
              <w:left w:val="nil"/>
              <w:bottom w:val="single" w:color="auto" w:sz="4" w:space="0"/>
              <w:right w:val="single" w:color="auto" w:sz="4" w:space="0"/>
            </w:tcBorders>
            <w:shd w:val="clear" w:color="auto" w:fill="auto"/>
            <w:noWrap/>
            <w:vAlign w:val="center"/>
          </w:tcPr>
          <w:p w14:paraId="685871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91A65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6D80B3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F6686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13654B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0A2B8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CBD0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8107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4ADAE7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57B23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3D057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F3793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481326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92664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7A2F0C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E5F4A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9AE959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7728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3085A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171CC14E">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6.18</w:t>
            </w:r>
          </w:p>
        </w:tc>
        <w:tc>
          <w:tcPr>
            <w:tcW w:w="1116" w:type="dxa"/>
            <w:tcBorders>
              <w:top w:val="nil"/>
              <w:left w:val="nil"/>
              <w:bottom w:val="single" w:color="auto" w:sz="4" w:space="0"/>
              <w:right w:val="single" w:color="auto" w:sz="4" w:space="0"/>
            </w:tcBorders>
            <w:shd w:val="clear" w:color="auto" w:fill="auto"/>
            <w:noWrap/>
            <w:vAlign w:val="center"/>
          </w:tcPr>
          <w:p w14:paraId="5C8F83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DD93F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DB3B469">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2.82</w:t>
            </w:r>
          </w:p>
        </w:tc>
        <w:tc>
          <w:tcPr>
            <w:tcW w:w="1217" w:type="dxa"/>
            <w:tcBorders>
              <w:top w:val="nil"/>
              <w:left w:val="nil"/>
              <w:bottom w:val="single" w:color="auto" w:sz="4" w:space="0"/>
              <w:right w:val="single" w:color="auto" w:sz="4" w:space="0"/>
            </w:tcBorders>
            <w:shd w:val="clear" w:color="auto" w:fill="auto"/>
            <w:noWrap/>
            <w:vAlign w:val="center"/>
          </w:tcPr>
          <w:p w14:paraId="521ECD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7A1C6E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75E163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33A82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9008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BDFBB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343348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1C971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383C6A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364B3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2B3BF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B1E23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8E688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D98BC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86A3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6ED045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4CB7EE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23E68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3F2713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37067AB8">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1.27</w:t>
            </w:r>
          </w:p>
        </w:tc>
        <w:tc>
          <w:tcPr>
            <w:tcW w:w="1217" w:type="dxa"/>
            <w:tcBorders>
              <w:top w:val="nil"/>
              <w:left w:val="nil"/>
              <w:bottom w:val="single" w:color="auto" w:sz="4" w:space="0"/>
              <w:right w:val="single" w:color="auto" w:sz="4" w:space="0"/>
            </w:tcBorders>
            <w:shd w:val="clear" w:color="auto" w:fill="auto"/>
            <w:noWrap/>
            <w:vAlign w:val="center"/>
          </w:tcPr>
          <w:p w14:paraId="08D88A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3D0C49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1DF7C2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7F347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0598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345EBD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5544867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36.68</w:t>
            </w:r>
          </w:p>
        </w:tc>
        <w:tc>
          <w:tcPr>
            <w:tcW w:w="1116" w:type="dxa"/>
            <w:tcBorders>
              <w:top w:val="nil"/>
              <w:left w:val="nil"/>
              <w:bottom w:val="single" w:color="auto" w:sz="4" w:space="0"/>
              <w:right w:val="single" w:color="auto" w:sz="4" w:space="0"/>
            </w:tcBorders>
            <w:shd w:val="clear" w:color="auto" w:fill="auto"/>
            <w:noWrap/>
            <w:vAlign w:val="center"/>
          </w:tcPr>
          <w:p w14:paraId="246A1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46BAB8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631209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65083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A8053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D4151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D6DC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6769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7450F1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BC0F747">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0.13</w:t>
            </w:r>
          </w:p>
        </w:tc>
        <w:tc>
          <w:tcPr>
            <w:tcW w:w="1116" w:type="dxa"/>
            <w:tcBorders>
              <w:top w:val="nil"/>
              <w:left w:val="nil"/>
              <w:bottom w:val="single" w:color="auto" w:sz="4" w:space="0"/>
              <w:right w:val="single" w:color="auto" w:sz="4" w:space="0"/>
            </w:tcBorders>
            <w:shd w:val="clear" w:color="auto" w:fill="auto"/>
            <w:noWrap/>
            <w:vAlign w:val="center"/>
          </w:tcPr>
          <w:p w14:paraId="39F8E3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5C24A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1CB8B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9150B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00326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664A3C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DFDD3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1161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6458D6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200AFA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E4D45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4CB4EF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707FD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2E1C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4733FD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7CFE9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4B7FB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7799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66A77E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33061D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148E1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793884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28387647">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0.49</w:t>
            </w:r>
          </w:p>
        </w:tc>
        <w:tc>
          <w:tcPr>
            <w:tcW w:w="1217" w:type="dxa"/>
            <w:tcBorders>
              <w:top w:val="nil"/>
              <w:left w:val="nil"/>
              <w:bottom w:val="single" w:color="auto" w:sz="4" w:space="0"/>
              <w:right w:val="single" w:color="auto" w:sz="4" w:space="0"/>
            </w:tcBorders>
            <w:shd w:val="clear" w:color="auto" w:fill="auto"/>
            <w:noWrap/>
            <w:vAlign w:val="center"/>
          </w:tcPr>
          <w:p w14:paraId="0E35D4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74CA0E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3FB7CB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EBE77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E1E9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654512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19B67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44CEC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959C2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5DC76A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A0AC6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69C3F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A969D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02288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4358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CCDAC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18085C26">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0.01</w:t>
            </w:r>
          </w:p>
        </w:tc>
        <w:tc>
          <w:tcPr>
            <w:tcW w:w="1116" w:type="dxa"/>
            <w:tcBorders>
              <w:top w:val="nil"/>
              <w:left w:val="nil"/>
              <w:bottom w:val="single" w:color="auto" w:sz="4" w:space="0"/>
              <w:right w:val="single" w:color="auto" w:sz="4" w:space="0"/>
            </w:tcBorders>
            <w:shd w:val="clear" w:color="auto" w:fill="auto"/>
            <w:noWrap/>
            <w:vAlign w:val="center"/>
          </w:tcPr>
          <w:p w14:paraId="676A88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6A25A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2C8FDC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F2B71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62C70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511884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20209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AC5D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7A7294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68BF5319">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0.12</w:t>
            </w:r>
          </w:p>
        </w:tc>
        <w:tc>
          <w:tcPr>
            <w:tcW w:w="1116" w:type="dxa"/>
            <w:tcBorders>
              <w:top w:val="nil"/>
              <w:left w:val="nil"/>
              <w:bottom w:val="single" w:color="auto" w:sz="4" w:space="0"/>
              <w:right w:val="single" w:color="auto" w:sz="4" w:space="0"/>
            </w:tcBorders>
            <w:shd w:val="clear" w:color="auto" w:fill="auto"/>
            <w:noWrap/>
            <w:vAlign w:val="center"/>
          </w:tcPr>
          <w:p w14:paraId="079BCD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29E8C2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1832FA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88C30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6AF3C8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09215A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F8281D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E486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1A9CA6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40B8CC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38696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2D0FBB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0907B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7CB97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142B6C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046F1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CCBB80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65BF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7092DA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4A2D01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1631C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06BE49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6EB204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E09F3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1792B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00CA65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ADD1F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DFC2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5A1063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5599A4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C83CD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2DDC94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0B4C2606">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24.7</w:t>
            </w:r>
          </w:p>
        </w:tc>
        <w:tc>
          <w:tcPr>
            <w:tcW w:w="1217" w:type="dxa"/>
            <w:tcBorders>
              <w:top w:val="nil"/>
              <w:left w:val="nil"/>
              <w:bottom w:val="single" w:color="auto" w:sz="4" w:space="0"/>
              <w:right w:val="single" w:color="auto" w:sz="4" w:space="0"/>
            </w:tcBorders>
            <w:shd w:val="clear" w:color="auto" w:fill="auto"/>
            <w:noWrap/>
            <w:vAlign w:val="center"/>
          </w:tcPr>
          <w:p w14:paraId="130923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7EDB2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0BBD6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78DD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75E0B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15534E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6A5991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1A2FE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3D1DCE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700FC277">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0.64</w:t>
            </w:r>
          </w:p>
        </w:tc>
        <w:tc>
          <w:tcPr>
            <w:tcW w:w="1217" w:type="dxa"/>
            <w:tcBorders>
              <w:top w:val="nil"/>
              <w:left w:val="nil"/>
              <w:bottom w:val="single" w:color="auto" w:sz="4" w:space="0"/>
              <w:right w:val="single" w:color="auto" w:sz="4" w:space="0"/>
            </w:tcBorders>
            <w:shd w:val="clear" w:color="auto" w:fill="auto"/>
            <w:noWrap/>
            <w:vAlign w:val="center"/>
          </w:tcPr>
          <w:p w14:paraId="386B23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1249BC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666E02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27749AF7">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90C9009">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A1E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62599A1">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C52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4B059A0">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52F054B8">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AC3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2D8863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994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F3CD257">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631B1B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4ED4D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9523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EB64C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3FF676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0C556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6C4AF8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7C1368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F672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62E5F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311942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99148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77F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19B5D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6B937E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71C11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F9BE5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40ED692">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9.53</w:t>
            </w:r>
          </w:p>
        </w:tc>
        <w:tc>
          <w:tcPr>
            <w:tcW w:w="1217" w:type="dxa"/>
            <w:tcBorders>
              <w:top w:val="nil"/>
              <w:left w:val="nil"/>
              <w:bottom w:val="single" w:color="auto" w:sz="4" w:space="0"/>
              <w:right w:val="single" w:color="auto" w:sz="4" w:space="0"/>
            </w:tcBorders>
            <w:shd w:val="clear" w:color="auto" w:fill="auto"/>
            <w:noWrap/>
            <w:vAlign w:val="center"/>
          </w:tcPr>
          <w:p w14:paraId="572066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02EBD6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1F5428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3BCB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D65A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5CC730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9BAD8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37193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6DC93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245C60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E3FBF0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68D9F7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A4D5A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BCE0B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446F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586805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03FC3B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8F637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1BFF01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9F5282E">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3.86</w:t>
            </w:r>
          </w:p>
        </w:tc>
        <w:tc>
          <w:tcPr>
            <w:tcW w:w="1217" w:type="dxa"/>
            <w:tcBorders>
              <w:top w:val="nil"/>
              <w:left w:val="nil"/>
              <w:bottom w:val="single" w:color="auto" w:sz="4" w:space="0"/>
              <w:right w:val="single" w:color="auto" w:sz="4" w:space="0"/>
            </w:tcBorders>
            <w:shd w:val="clear" w:color="auto" w:fill="auto"/>
            <w:noWrap/>
            <w:vAlign w:val="center"/>
          </w:tcPr>
          <w:p w14:paraId="3BF9048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C44FC2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BED0A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34505F2">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FB95DE">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A08A4A0">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391.57</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3262694F">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3B50A728">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58.91</w:t>
            </w:r>
          </w:p>
        </w:tc>
      </w:tr>
    </w:tbl>
    <w:p w14:paraId="3CE689D0">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5A8050B">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EA6409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1476A46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7C039E4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58E4AC7">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6AB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A167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E254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C0372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B817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406AF2B0">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6D7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E39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37F83">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1AB35">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504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07FE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A91A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1801C">
            <w:pPr>
              <w:widowControl/>
              <w:jc w:val="center"/>
              <w:rPr>
                <w:rFonts w:ascii="Times New Roman" w:hAnsi="Times New Roman" w:eastAsia="仿宋_GB2312" w:cs="Times New Roman"/>
                <w:color w:val="000000"/>
                <w:sz w:val="24"/>
                <w:szCs w:val="24"/>
              </w:rPr>
            </w:pPr>
          </w:p>
        </w:tc>
      </w:tr>
      <w:tr w14:paraId="4706DE13">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1B3D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6E84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E347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622C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AF96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8353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32C1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3BFB4">
            <w:pPr>
              <w:jc w:val="center"/>
              <w:rPr>
                <w:rFonts w:ascii="Times New Roman" w:hAnsi="Times New Roman" w:eastAsia="仿宋_GB2312" w:cs="Times New Roman"/>
                <w:color w:val="000000"/>
                <w:sz w:val="24"/>
                <w:szCs w:val="24"/>
              </w:rPr>
            </w:pPr>
          </w:p>
        </w:tc>
      </w:tr>
      <w:tr w14:paraId="6513F4A0">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27EFF">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1250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F512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E861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D4FC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D457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44B7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899D7">
            <w:pPr>
              <w:jc w:val="center"/>
              <w:rPr>
                <w:rFonts w:ascii="Times New Roman" w:hAnsi="Times New Roman" w:eastAsia="仿宋_GB2312" w:cs="Times New Roman"/>
                <w:color w:val="000000"/>
                <w:sz w:val="24"/>
                <w:szCs w:val="24"/>
              </w:rPr>
            </w:pPr>
          </w:p>
        </w:tc>
      </w:tr>
      <w:tr w14:paraId="401B9B3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45D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3A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5B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744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B5D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14D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4F8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055A3D06">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DBC5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E8A9">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3FE9">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30F1">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3733">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F1AF">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7F44">
            <w:pPr>
              <w:jc w:val="center"/>
              <w:rPr>
                <w:rFonts w:ascii="Times New Roman" w:hAnsi="Times New Roman" w:eastAsia="仿宋_GB2312" w:cs="Times New Roman"/>
                <w:color w:val="000000"/>
                <w:sz w:val="24"/>
                <w:szCs w:val="24"/>
              </w:rPr>
            </w:pPr>
          </w:p>
        </w:tc>
      </w:tr>
      <w:tr w14:paraId="4268254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34E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E7D1">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366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E4A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AB8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94B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818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0F71">
            <w:pPr>
              <w:rPr>
                <w:rFonts w:ascii="Times New Roman" w:hAnsi="Times New Roman" w:eastAsia="仿宋_GB2312" w:cs="Times New Roman"/>
                <w:color w:val="000000"/>
                <w:sz w:val="24"/>
                <w:szCs w:val="24"/>
              </w:rPr>
            </w:pPr>
          </w:p>
        </w:tc>
      </w:tr>
      <w:tr w14:paraId="2A58706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265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CA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752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878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E99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7D3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C81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06B5">
            <w:pPr>
              <w:rPr>
                <w:rFonts w:ascii="Times New Roman" w:hAnsi="Times New Roman" w:eastAsia="仿宋_GB2312" w:cs="Times New Roman"/>
                <w:color w:val="000000"/>
                <w:sz w:val="24"/>
                <w:szCs w:val="24"/>
              </w:rPr>
            </w:pPr>
          </w:p>
        </w:tc>
      </w:tr>
      <w:tr w14:paraId="26B3333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4B7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023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FD7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333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B80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B0B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CCD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A21A">
            <w:pPr>
              <w:rPr>
                <w:rFonts w:ascii="Times New Roman" w:hAnsi="Times New Roman" w:eastAsia="仿宋_GB2312" w:cs="Times New Roman"/>
                <w:color w:val="000000"/>
                <w:sz w:val="24"/>
                <w:szCs w:val="24"/>
              </w:rPr>
            </w:pPr>
          </w:p>
        </w:tc>
      </w:tr>
      <w:tr w14:paraId="030B0BC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025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383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269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61A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A9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B63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31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08B7">
            <w:pPr>
              <w:rPr>
                <w:rFonts w:ascii="Times New Roman" w:hAnsi="Times New Roman" w:eastAsia="仿宋_GB2312" w:cs="Times New Roman"/>
                <w:color w:val="000000"/>
                <w:sz w:val="24"/>
                <w:szCs w:val="24"/>
              </w:rPr>
            </w:pPr>
          </w:p>
        </w:tc>
      </w:tr>
      <w:tr w14:paraId="01E5215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4BB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EA2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AE7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2BB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7EF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467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816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63B3">
            <w:pPr>
              <w:rPr>
                <w:rFonts w:ascii="Times New Roman" w:hAnsi="Times New Roman" w:eastAsia="仿宋_GB2312" w:cs="Times New Roman"/>
                <w:color w:val="000000"/>
                <w:sz w:val="24"/>
                <w:szCs w:val="24"/>
              </w:rPr>
            </w:pPr>
          </w:p>
        </w:tc>
      </w:tr>
      <w:tr w14:paraId="1D9A3F0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9B2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99C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2F3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B55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712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362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6E8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2C77">
            <w:pPr>
              <w:rPr>
                <w:rFonts w:ascii="Times New Roman" w:hAnsi="Times New Roman" w:eastAsia="仿宋_GB2312" w:cs="Times New Roman"/>
                <w:color w:val="000000"/>
                <w:sz w:val="24"/>
                <w:szCs w:val="24"/>
              </w:rPr>
            </w:pPr>
          </w:p>
        </w:tc>
      </w:tr>
    </w:tbl>
    <w:p w14:paraId="5659F723">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7D49173C">
      <w:pPr>
        <w:widowControl/>
        <w:jc w:val="left"/>
        <w:textAlignment w:val="center"/>
        <w:rPr>
          <w:rFonts w:ascii="Times New Roman" w:hAnsi="Times New Roman" w:eastAsia="仿宋_GB2312" w:cs="Times New Roman"/>
          <w:color w:val="000000"/>
          <w:kern w:val="0"/>
          <w:sz w:val="24"/>
          <w:szCs w:val="24"/>
          <w:lang w:bidi="ar"/>
        </w:rPr>
      </w:pPr>
    </w:p>
    <w:p w14:paraId="10483D5F">
      <w:pPr>
        <w:widowControl/>
        <w:jc w:val="left"/>
        <w:textAlignment w:val="center"/>
        <w:rPr>
          <w:rFonts w:ascii="Times New Roman" w:hAnsi="Times New Roman" w:eastAsia="方正小标宋_GBK" w:cs="Times New Roman"/>
          <w:color w:val="000000"/>
          <w:kern w:val="0"/>
          <w:sz w:val="36"/>
          <w:szCs w:val="36"/>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14:paraId="57157978">
      <w:pPr>
        <w:widowControl/>
        <w:spacing w:line="400" w:lineRule="exact"/>
        <w:textAlignment w:val="center"/>
        <w:rPr>
          <w:rFonts w:ascii="Times New Roman" w:hAnsi="Times New Roman" w:eastAsia="黑体" w:cs="Times New Roman"/>
          <w:color w:val="000000"/>
          <w:kern w:val="0"/>
          <w:sz w:val="36"/>
          <w:szCs w:val="36"/>
          <w:lang w:bidi="ar"/>
        </w:rPr>
      </w:pPr>
    </w:p>
    <w:p w14:paraId="5B365CE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64C3803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2551A551">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CE889B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6E5A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A5F6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527051DD">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2429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8CEA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7714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9501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32E9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3F04A620">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FBF6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871B7">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F69F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3690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E05E">
            <w:pPr>
              <w:jc w:val="center"/>
              <w:rPr>
                <w:rFonts w:ascii="Times New Roman" w:hAnsi="Times New Roman" w:eastAsia="仿宋_GB2312" w:cs="Times New Roman"/>
                <w:color w:val="000000"/>
                <w:sz w:val="24"/>
                <w:szCs w:val="24"/>
              </w:rPr>
            </w:pPr>
          </w:p>
        </w:tc>
      </w:tr>
      <w:tr w14:paraId="0CB72381">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54AD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27D2A">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BB45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DCE4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9233F">
            <w:pPr>
              <w:jc w:val="center"/>
              <w:rPr>
                <w:rFonts w:ascii="Times New Roman" w:hAnsi="Times New Roman" w:eastAsia="仿宋_GB2312" w:cs="Times New Roman"/>
                <w:color w:val="000000"/>
                <w:sz w:val="24"/>
                <w:szCs w:val="24"/>
              </w:rPr>
            </w:pPr>
          </w:p>
        </w:tc>
      </w:tr>
      <w:tr w14:paraId="62B627A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E787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E5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0948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FFB9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FF0E44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7CBB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2C49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8691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0FB66">
            <w:pPr>
              <w:jc w:val="center"/>
              <w:rPr>
                <w:rFonts w:ascii="Times New Roman" w:hAnsi="Times New Roman" w:eastAsia="仿宋_GB2312" w:cs="Times New Roman"/>
                <w:color w:val="000000"/>
                <w:sz w:val="24"/>
                <w:szCs w:val="24"/>
              </w:rPr>
            </w:pPr>
          </w:p>
        </w:tc>
      </w:tr>
      <w:tr w14:paraId="5497D4E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E2E9B">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F73C">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BC2B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423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99B2D">
            <w:pPr>
              <w:rPr>
                <w:rFonts w:ascii="Times New Roman" w:hAnsi="Times New Roman" w:eastAsia="仿宋_GB2312" w:cs="Times New Roman"/>
                <w:color w:val="000000"/>
                <w:sz w:val="24"/>
                <w:szCs w:val="24"/>
              </w:rPr>
            </w:pPr>
          </w:p>
        </w:tc>
      </w:tr>
      <w:tr w14:paraId="24C2AE3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635BE">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8A2DB">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3036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782A0">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C67C0">
            <w:pPr>
              <w:rPr>
                <w:rFonts w:ascii="Times New Roman" w:hAnsi="Times New Roman" w:eastAsia="仿宋_GB2312" w:cs="Times New Roman"/>
                <w:color w:val="000000"/>
                <w:sz w:val="24"/>
                <w:szCs w:val="24"/>
              </w:rPr>
            </w:pPr>
          </w:p>
        </w:tc>
      </w:tr>
      <w:tr w14:paraId="215671F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6690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D29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39EE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7854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4088">
            <w:pPr>
              <w:rPr>
                <w:rFonts w:ascii="Times New Roman" w:hAnsi="Times New Roman" w:eastAsia="宋体" w:cs="Times New Roman"/>
                <w:color w:val="000000"/>
                <w:sz w:val="24"/>
                <w:szCs w:val="24"/>
              </w:rPr>
            </w:pPr>
          </w:p>
        </w:tc>
      </w:tr>
      <w:tr w14:paraId="083CA0A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450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D5C9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523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E1A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0386A">
            <w:pPr>
              <w:rPr>
                <w:rFonts w:ascii="Times New Roman" w:hAnsi="Times New Roman" w:eastAsia="宋体" w:cs="Times New Roman"/>
                <w:color w:val="000000"/>
                <w:sz w:val="24"/>
                <w:szCs w:val="24"/>
              </w:rPr>
            </w:pPr>
          </w:p>
        </w:tc>
      </w:tr>
      <w:tr w14:paraId="2E4CEBB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731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1244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D50A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933E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0DCEC">
            <w:pPr>
              <w:rPr>
                <w:rFonts w:ascii="Times New Roman" w:hAnsi="Times New Roman" w:eastAsia="宋体" w:cs="Times New Roman"/>
                <w:color w:val="000000"/>
                <w:sz w:val="24"/>
                <w:szCs w:val="24"/>
              </w:rPr>
            </w:pPr>
          </w:p>
        </w:tc>
      </w:tr>
      <w:tr w14:paraId="4F48423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7EB9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3591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322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E43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5EEF">
            <w:pPr>
              <w:rPr>
                <w:rFonts w:ascii="Times New Roman" w:hAnsi="Times New Roman" w:eastAsia="宋体" w:cs="Times New Roman"/>
                <w:color w:val="000000"/>
                <w:sz w:val="24"/>
                <w:szCs w:val="24"/>
              </w:rPr>
            </w:pPr>
          </w:p>
        </w:tc>
      </w:tr>
    </w:tbl>
    <w:p w14:paraId="2DEEC60E">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118E26CD">
      <w:pPr>
        <w:widowControl/>
        <w:jc w:val="left"/>
        <w:textAlignment w:val="center"/>
        <w:rPr>
          <w:rFonts w:ascii="Times New Roman" w:hAnsi="Times New Roman" w:eastAsia="宋体" w:cs="Times New Roman"/>
          <w:color w:val="000000"/>
          <w:kern w:val="0"/>
          <w:sz w:val="24"/>
          <w:szCs w:val="24"/>
          <w:lang w:bidi="ar"/>
        </w:rPr>
      </w:pPr>
    </w:p>
    <w:p w14:paraId="3FF6D85E">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19943999">
      <w:pPr>
        <w:widowControl/>
        <w:jc w:val="center"/>
        <w:rPr>
          <w:rFonts w:ascii="Times New Roman" w:hAnsi="Times New Roman" w:eastAsia="方正小标宋_GBK" w:cs="Times New Roman"/>
          <w:color w:val="000000"/>
          <w:kern w:val="0"/>
          <w:sz w:val="36"/>
          <w:szCs w:val="36"/>
        </w:rPr>
      </w:pPr>
    </w:p>
    <w:p w14:paraId="3B0A6B87">
      <w:pPr>
        <w:pStyle w:val="2"/>
        <w:spacing w:line="400" w:lineRule="exact"/>
        <w:rPr>
          <w:rFonts w:ascii="Times New Roman" w:hAnsi="Times New Roman" w:eastAsia="华文中宋" w:cs="Times New Roman"/>
          <w:color w:val="000000"/>
          <w:kern w:val="0"/>
          <w:sz w:val="32"/>
          <w:szCs w:val="32"/>
          <w:lang w:bidi="ar"/>
        </w:rPr>
      </w:pPr>
    </w:p>
    <w:p w14:paraId="63A067E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35AD148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6752A29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rPr>
        <w:t>蓝山县社会保险服务中心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0A9D9484">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B0A6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697EF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1E2558A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64E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BE37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E1F29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C8E0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319C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EE50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EDD4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7569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2C675A6B">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6B501">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6AB3C">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3B4E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D68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1F59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C6FE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E9553">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CE761">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AC7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468D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9914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A6D5B">
            <w:pPr>
              <w:jc w:val="center"/>
              <w:rPr>
                <w:rFonts w:ascii="Times New Roman" w:hAnsi="Times New Roman" w:eastAsia="仿宋_GB2312" w:cs="Times New Roman"/>
                <w:color w:val="000000"/>
                <w:sz w:val="22"/>
              </w:rPr>
            </w:pPr>
          </w:p>
        </w:tc>
      </w:tr>
      <w:tr w14:paraId="0BBA793B">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0C7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24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25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C37D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EE9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B9A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B425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EDE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0DD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A5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9B61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B43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246639AC">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97ED">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5F2A5">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0593">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32150">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A6396">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0D2A">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0.7</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97087">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11373">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D8CF7">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2A024">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32C25">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91AAA">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0.49</w:t>
            </w:r>
          </w:p>
        </w:tc>
      </w:tr>
    </w:tbl>
    <w:p w14:paraId="311020F4">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4AF5979F">
      <w:pPr>
        <w:autoSpaceDE w:val="0"/>
        <w:autoSpaceDN w:val="0"/>
        <w:adjustRightInd w:val="0"/>
        <w:ind w:left="315" w:leftChars="150"/>
        <w:jc w:val="left"/>
        <w:rPr>
          <w:rFonts w:ascii="Times New Roman" w:hAnsi="Times New Roman" w:eastAsia="宋体" w:cs="Times New Roman"/>
          <w:kern w:val="0"/>
          <w:sz w:val="24"/>
          <w:szCs w:val="24"/>
        </w:rPr>
      </w:pPr>
    </w:p>
    <w:p w14:paraId="5399FFCB">
      <w:pPr>
        <w:autoSpaceDE w:val="0"/>
        <w:autoSpaceDN w:val="0"/>
        <w:adjustRightInd w:val="0"/>
        <w:ind w:left="315" w:leftChars="150"/>
        <w:jc w:val="left"/>
        <w:rPr>
          <w:rFonts w:ascii="Times New Roman" w:hAnsi="Times New Roman" w:eastAsia="宋体" w:cs="Times New Roman"/>
          <w:kern w:val="0"/>
          <w:sz w:val="24"/>
          <w:szCs w:val="24"/>
        </w:rPr>
      </w:pPr>
    </w:p>
    <w:p w14:paraId="4EE6B357">
      <w:pPr>
        <w:autoSpaceDE w:val="0"/>
        <w:autoSpaceDN w:val="0"/>
        <w:adjustRightInd w:val="0"/>
        <w:ind w:left="315" w:leftChars="150"/>
        <w:jc w:val="left"/>
        <w:rPr>
          <w:rFonts w:ascii="Times New Roman" w:hAnsi="Times New Roman" w:eastAsia="宋体" w:cs="Times New Roman"/>
          <w:kern w:val="0"/>
          <w:sz w:val="24"/>
          <w:szCs w:val="24"/>
        </w:rPr>
      </w:pPr>
    </w:p>
    <w:p w14:paraId="464F2B79">
      <w:pPr>
        <w:autoSpaceDE w:val="0"/>
        <w:autoSpaceDN w:val="0"/>
        <w:adjustRightInd w:val="0"/>
        <w:ind w:left="315" w:leftChars="150"/>
        <w:jc w:val="left"/>
        <w:rPr>
          <w:rFonts w:ascii="Times New Roman" w:hAnsi="Times New Roman" w:eastAsia="宋体" w:cs="Times New Roman"/>
          <w:kern w:val="0"/>
          <w:sz w:val="24"/>
          <w:szCs w:val="24"/>
        </w:rPr>
      </w:pPr>
    </w:p>
    <w:p w14:paraId="407E6CB2">
      <w:pPr>
        <w:autoSpaceDE w:val="0"/>
        <w:autoSpaceDN w:val="0"/>
        <w:adjustRightInd w:val="0"/>
        <w:ind w:left="315" w:leftChars="150"/>
        <w:jc w:val="left"/>
        <w:rPr>
          <w:rFonts w:ascii="Times New Roman" w:hAnsi="Times New Roman" w:eastAsia="宋体" w:cs="Times New Roman"/>
          <w:kern w:val="0"/>
          <w:sz w:val="24"/>
          <w:szCs w:val="24"/>
        </w:rPr>
      </w:pPr>
    </w:p>
    <w:p w14:paraId="02D4EA28">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1945ADBF">
      <w:pPr>
        <w:pStyle w:val="13"/>
        <w:rPr>
          <w:rFonts w:ascii="Times New Roman" w:hAnsi="Times New Roman" w:cs="Times New Roman"/>
          <w:sz w:val="72"/>
          <w:szCs w:val="72"/>
        </w:rPr>
      </w:pPr>
    </w:p>
    <w:p w14:paraId="1947FB79">
      <w:pPr>
        <w:pStyle w:val="13"/>
        <w:rPr>
          <w:rFonts w:ascii="Times New Roman" w:hAnsi="Times New Roman" w:cs="Times New Roman"/>
          <w:sz w:val="72"/>
          <w:szCs w:val="72"/>
        </w:rPr>
      </w:pPr>
    </w:p>
    <w:p w14:paraId="54C845C4">
      <w:pPr>
        <w:pStyle w:val="13"/>
        <w:rPr>
          <w:rFonts w:ascii="Times New Roman" w:hAnsi="Times New Roman" w:cs="Times New Roman"/>
          <w:sz w:val="72"/>
          <w:szCs w:val="72"/>
        </w:rPr>
      </w:pPr>
    </w:p>
    <w:p w14:paraId="5D6B61E4">
      <w:pPr>
        <w:pStyle w:val="13"/>
        <w:jc w:val="center"/>
        <w:rPr>
          <w:rFonts w:ascii="Times New Roman" w:hAnsi="Times New Roman" w:cs="Times New Roman"/>
          <w:sz w:val="72"/>
          <w:szCs w:val="72"/>
        </w:rPr>
      </w:pPr>
    </w:p>
    <w:p w14:paraId="2F3329D5">
      <w:pPr>
        <w:pStyle w:val="13"/>
        <w:jc w:val="center"/>
        <w:rPr>
          <w:rFonts w:ascii="Times New Roman" w:hAnsi="Times New Roman" w:eastAsia="方正小标宋_GBK" w:cs="Times New Roman"/>
          <w:sz w:val="72"/>
          <w:szCs w:val="72"/>
        </w:rPr>
      </w:pPr>
    </w:p>
    <w:p w14:paraId="6E4F6E5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F0FF683">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14:paraId="2F751D66">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7D8CEA7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6B0D63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default" w:ascii="Times New Roman" w:hAnsi="Times New Roman" w:eastAsia="仿宋_GB2312" w:cs="Times New Roman"/>
          <w:sz w:val="32"/>
          <w:szCs w:val="32"/>
          <w:lang w:val="en"/>
        </w:rPr>
        <w:t>537.69</w:t>
      </w:r>
      <w:r>
        <w:rPr>
          <w:rFonts w:ascii="Times New Roman" w:hAnsi="Times New Roman" w:eastAsia="仿宋_GB2312" w:cs="Times New Roman"/>
          <w:sz w:val="32"/>
          <w:szCs w:val="32"/>
        </w:rPr>
        <w:t>万元。与上年相比，增加</w:t>
      </w:r>
      <w:r>
        <w:rPr>
          <w:rFonts w:hint="default" w:ascii="Times New Roman" w:hAnsi="Times New Roman" w:eastAsia="仿宋_GB2312" w:cs="Times New Roman"/>
          <w:sz w:val="32"/>
          <w:szCs w:val="32"/>
          <w:lang w:val="en"/>
        </w:rPr>
        <w:t>33.03</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
        </w:rPr>
        <w:t>6.55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较上年增加在职人员开支及必要的运转经费增加。</w:t>
      </w:r>
    </w:p>
    <w:p w14:paraId="27D6025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w:t>
      </w:r>
      <w:r>
        <w:rPr>
          <w:rFonts w:hint="eastAsia" w:ascii="Times New Roman" w:hAnsi="Times New Roman" w:eastAsia="仿宋_GB2312" w:cs="Times New Roman"/>
          <w:sz w:val="32"/>
          <w:szCs w:val="32"/>
          <w:shd w:val="clear"/>
          <w:lang w:eastAsia="zh-CN"/>
        </w:rPr>
        <w:t>合理保障基本工资、绩效工资、工会经费等重点支出，体现在有关支出科目中。</w:t>
      </w:r>
    </w:p>
    <w:p w14:paraId="53CA042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8EA661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default" w:ascii="Times New Roman" w:hAnsi="Times New Roman" w:eastAsia="仿宋_GB2312" w:cs="Times New Roman"/>
          <w:sz w:val="32"/>
          <w:szCs w:val="32"/>
          <w:lang w:val="en"/>
        </w:rPr>
        <w:t>537.69</w:t>
      </w:r>
      <w:r>
        <w:rPr>
          <w:rFonts w:ascii="Times New Roman" w:hAnsi="Times New Roman" w:eastAsia="仿宋_GB2312" w:cs="Times New Roman"/>
          <w:sz w:val="32"/>
          <w:szCs w:val="32"/>
        </w:rPr>
        <w:t>万元，其中：财政拨款收入</w:t>
      </w:r>
      <w:r>
        <w:rPr>
          <w:rFonts w:hint="default" w:ascii="Times New Roman" w:hAnsi="Times New Roman" w:eastAsia="仿宋_GB2312" w:cs="Times New Roman"/>
          <w:sz w:val="32"/>
          <w:szCs w:val="32"/>
          <w:lang w:val="en"/>
        </w:rPr>
        <w:t>537.69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B0551F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B7288D1">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default" w:ascii="Times New Roman" w:hAnsi="Times New Roman" w:eastAsia="仿宋_GB2312" w:cs="Times New Roman"/>
          <w:sz w:val="32"/>
          <w:szCs w:val="32"/>
          <w:lang w:val="en"/>
        </w:rPr>
        <w:t>537.69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450.48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83.78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87.21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16.22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CA242D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8B3E48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default" w:ascii="Times New Roman" w:hAnsi="Times New Roman" w:eastAsia="仿宋_GB2312" w:cs="Times New Roman"/>
          <w:sz w:val="32"/>
          <w:szCs w:val="32"/>
          <w:lang w:val="en"/>
        </w:rPr>
        <w:t>537.69</w:t>
      </w:r>
      <w:r>
        <w:rPr>
          <w:rFonts w:ascii="Times New Roman" w:hAnsi="Times New Roman" w:eastAsia="仿宋_GB2312" w:cs="Times New Roman"/>
          <w:sz w:val="32"/>
          <w:szCs w:val="32"/>
        </w:rPr>
        <w:t>万元，与上年相比，增加</w:t>
      </w:r>
      <w:r>
        <w:rPr>
          <w:rFonts w:hint="default" w:ascii="Times New Roman" w:hAnsi="Times New Roman" w:eastAsia="仿宋_GB2312" w:cs="Times New Roman"/>
          <w:sz w:val="32"/>
          <w:szCs w:val="32"/>
          <w:lang w:val="en"/>
        </w:rPr>
        <w:t>33.03</w:t>
      </w:r>
      <w:r>
        <w:rPr>
          <w:rFonts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
        </w:rPr>
        <w:t>6.55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较上年增加在职人员开支及必要的运转经费增加。</w:t>
      </w:r>
    </w:p>
    <w:p w14:paraId="417F850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D37C089">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FDF49F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lang w:val="en-US" w:eastAsia="zh-CN"/>
        </w:rPr>
        <w:t>537.69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33.03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6.55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较上年增加在职人员开支及必要的运转经费增加。</w:t>
      </w:r>
    </w:p>
    <w:p w14:paraId="1BC10B2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FDCA6A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lang w:val="en-US" w:eastAsia="zh-CN"/>
        </w:rPr>
        <w:t>537.69</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512.46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95.31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卫生健康（类）支出</w:t>
      </w:r>
      <w:r>
        <w:rPr>
          <w:rFonts w:hint="eastAsia" w:ascii="Times New Roman" w:hAnsi="Times New Roman" w:eastAsia="仿宋_GB2312" w:cs="Times New Roman"/>
          <w:sz w:val="32"/>
          <w:szCs w:val="32"/>
          <w:lang w:val="en-US" w:eastAsia="zh-CN"/>
        </w:rPr>
        <w:t>19.92万元，占3.7%。</w:t>
      </w:r>
    </w:p>
    <w:p w14:paraId="6732BEE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3C0430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440.29</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537.69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122.12</w:t>
      </w:r>
      <w:r>
        <w:rPr>
          <w:rFonts w:ascii="Times New Roman" w:hAnsi="Times New Roman" w:eastAsia="仿宋_GB2312" w:cs="Times New Roman"/>
          <w:sz w:val="32"/>
          <w:szCs w:val="32"/>
        </w:rPr>
        <w:t>%，其中：</w:t>
      </w:r>
    </w:p>
    <w:p w14:paraId="12753F7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人力资源和社会保障管理事务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社会保险经办机构</w:t>
      </w:r>
      <w:r>
        <w:rPr>
          <w:rFonts w:ascii="Times New Roman" w:hAnsi="Times New Roman" w:eastAsia="仿宋_GB2312" w:cs="Times New Roman"/>
          <w:sz w:val="32"/>
          <w:szCs w:val="32"/>
        </w:rPr>
        <w:t>（项）。</w:t>
      </w:r>
    </w:p>
    <w:p w14:paraId="74E614F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357.55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385.04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107.69</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预算编制时未考虑有可能的支出增加。</w:t>
      </w:r>
    </w:p>
    <w:p w14:paraId="6550413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机关事业单位基本养老保险缴费支出</w:t>
      </w:r>
      <w:r>
        <w:rPr>
          <w:rFonts w:ascii="Times New Roman" w:hAnsi="Times New Roman" w:eastAsia="仿宋_GB2312" w:cs="Times New Roman"/>
          <w:sz w:val="32"/>
          <w:szCs w:val="32"/>
        </w:rPr>
        <w:t>（项）。</w:t>
      </w:r>
    </w:p>
    <w:p w14:paraId="5B40343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39.22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48.4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123.41</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预算编制时未考虑有可能的支出增加。</w:t>
      </w:r>
    </w:p>
    <w:p w14:paraId="0792C68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卫生健康支出（类）行政事业单位医疗（款）事业单位医疗（项）</w:t>
      </w:r>
      <w:r>
        <w:rPr>
          <w:rFonts w:ascii="Times New Roman" w:hAnsi="Times New Roman" w:eastAsia="仿宋_GB2312" w:cs="Times New Roman"/>
          <w:sz w:val="32"/>
          <w:szCs w:val="32"/>
        </w:rPr>
        <w:t>。</w:t>
      </w:r>
    </w:p>
    <w:p w14:paraId="26FBF7C1">
      <w:pPr>
        <w:pStyle w:val="13"/>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18.29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19.92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108.91</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预算编制时未考虑有可能的支出增加。</w:t>
      </w:r>
    </w:p>
    <w:p w14:paraId="04FD0DB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按照支出功能分类，</w:t>
      </w:r>
      <w:r>
        <w:rPr>
          <w:rFonts w:hint="eastAsia" w:ascii="Times New Roman" w:hAnsi="Times New Roman" w:eastAsia="仿宋_GB2312" w:cs="Times New Roman"/>
          <w:sz w:val="32"/>
          <w:szCs w:val="32"/>
          <w:lang w:eastAsia="zh-CN"/>
        </w:rPr>
        <w:t>工资福利支出</w:t>
      </w:r>
      <w:r>
        <w:rPr>
          <w:rFonts w:hint="eastAsia" w:ascii="Times New Roman" w:hAnsi="Times New Roman" w:eastAsia="仿宋_GB2312" w:cs="Times New Roman"/>
          <w:sz w:val="32"/>
          <w:szCs w:val="32"/>
        </w:rPr>
        <w:t>方面的支出规模较大（或占财政拨款支出总额的比重较高），主要是：</w:t>
      </w:r>
      <w:r>
        <w:rPr>
          <w:rFonts w:hint="eastAsia" w:ascii="Times New Roman" w:hAnsi="Times New Roman" w:eastAsia="仿宋_GB2312" w:cs="Times New Roman"/>
          <w:sz w:val="32"/>
          <w:szCs w:val="32"/>
          <w:lang w:eastAsia="zh-CN"/>
        </w:rPr>
        <w:t>基本工资</w:t>
      </w:r>
      <w:r>
        <w:rPr>
          <w:rFonts w:hint="eastAsia" w:ascii="Times New Roman" w:hAnsi="Times New Roman" w:eastAsia="仿宋_GB2312" w:cs="Times New Roman"/>
          <w:sz w:val="32"/>
          <w:szCs w:val="32"/>
        </w:rPr>
        <w:t>，2025年度决算数为</w:t>
      </w:r>
      <w:r>
        <w:rPr>
          <w:rFonts w:hint="eastAsia" w:ascii="Times New Roman" w:hAnsi="Times New Roman" w:eastAsia="仿宋_GB2312" w:cs="Times New Roman"/>
          <w:sz w:val="32"/>
          <w:szCs w:val="32"/>
          <w:lang w:val="en-US" w:eastAsia="zh-CN"/>
        </w:rPr>
        <w:t>166.04</w:t>
      </w:r>
      <w:r>
        <w:rPr>
          <w:rFonts w:hint="eastAsia" w:ascii="Times New Roman" w:hAnsi="Times New Roman" w:eastAsia="仿宋_GB2312" w:cs="Times New Roman"/>
          <w:sz w:val="32"/>
          <w:szCs w:val="32"/>
        </w:rPr>
        <w:t>万元，占财政拨款支出总额的</w:t>
      </w:r>
      <w:r>
        <w:rPr>
          <w:rFonts w:hint="eastAsia" w:ascii="Times New Roman" w:hAnsi="Times New Roman" w:eastAsia="仿宋_GB2312" w:cs="Times New Roman"/>
          <w:sz w:val="32"/>
          <w:szCs w:val="32"/>
          <w:lang w:val="en-US" w:eastAsia="zh-CN"/>
        </w:rPr>
        <w:t>30.88</w:t>
      </w:r>
      <w:r>
        <w:rPr>
          <w:rFonts w:hint="eastAsia" w:ascii="Times New Roman" w:hAnsi="Times New Roman" w:eastAsia="仿宋_GB2312" w:cs="Times New Roman"/>
          <w:sz w:val="32"/>
          <w:szCs w:val="32"/>
        </w:rPr>
        <w:t>%，主要用于</w:t>
      </w:r>
      <w:r>
        <w:rPr>
          <w:rFonts w:hint="eastAsia" w:ascii="Times New Roman" w:hAnsi="Times New Roman" w:eastAsia="仿宋_GB2312" w:cs="Times New Roman"/>
          <w:sz w:val="32"/>
          <w:szCs w:val="32"/>
          <w:lang w:eastAsia="zh-CN"/>
        </w:rPr>
        <w:t>发放单位在职在编人员基本工资。</w:t>
      </w:r>
    </w:p>
    <w:p w14:paraId="55F8990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2EC009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w:t>
      </w:r>
      <w:r>
        <w:rPr>
          <w:rFonts w:hint="eastAsia" w:ascii="Times New Roman" w:hAnsi="Times New Roman" w:eastAsia="仿宋_GB2312" w:cs="Times New Roman"/>
          <w:sz w:val="32"/>
          <w:szCs w:val="32"/>
          <w:lang w:val="en-US" w:eastAsia="zh-CN"/>
        </w:rPr>
        <w:t>450.48</w:t>
      </w:r>
      <w:r>
        <w:rPr>
          <w:rFonts w:ascii="Times New Roman" w:hAnsi="Times New Roman" w:eastAsia="仿宋_GB2312" w:cs="Times New Roman"/>
          <w:sz w:val="32"/>
          <w:szCs w:val="32"/>
        </w:rPr>
        <w:t>万元，其中：</w:t>
      </w:r>
    </w:p>
    <w:p w14:paraId="1185221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391.57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86.92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基本工资、津贴补贴、奖金机关事业单位基本养老保险费、职业年金缴费、职工基本医疗保险缴费、其他社会保障缴费、其他工资福利支出、抚恤金、生活补助</w:t>
      </w:r>
      <w:r>
        <w:rPr>
          <w:rFonts w:hint="eastAsia" w:ascii="Times New Roman" w:hAnsi="Times New Roman" w:eastAsia="仿宋_GB2312" w:cs="Times New Roman"/>
          <w:sz w:val="32"/>
          <w:szCs w:val="32"/>
          <w:lang w:eastAsia="zh-CN"/>
        </w:rPr>
        <w:t>。</w:t>
      </w:r>
    </w:p>
    <w:p w14:paraId="39A480DB">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58.91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13.08</w:t>
      </w:r>
      <w:r>
        <w:rPr>
          <w:rFonts w:ascii="Times New Roman" w:hAnsi="Times New Roman" w:eastAsia="仿宋_GB2312" w:cs="Times New Roman"/>
          <w:sz w:val="32"/>
          <w:szCs w:val="32"/>
        </w:rPr>
        <w:t>%，主要包括办公费、印刷费、咨询费、手续费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差旅费、维修费、公务接待费、工会经费、其他交通费用、其他商品和服务支出。</w:t>
      </w:r>
    </w:p>
    <w:p w14:paraId="06DD4685">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F6A9C5D">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0B2BCB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lang w:val="en-US" w:eastAsia="zh-CN"/>
        </w:rPr>
        <w:t>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2.32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82.56%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严格压减三公经费支出。</w:t>
      </w:r>
    </w:p>
    <w:p w14:paraId="0298C4D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5EB6532">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0876FC5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w:t>
      </w:r>
    </w:p>
    <w:p w14:paraId="2897324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蓝山县社会保险服务中心</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lang w:eastAsia="zh-CN"/>
        </w:rPr>
        <w:t>。</w:t>
      </w:r>
    </w:p>
    <w:p w14:paraId="7C4E320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万元。截止202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4945A2F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2.32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82.56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严格压减三公经费支出。2025年</w:t>
      </w:r>
      <w:r>
        <w:rPr>
          <w:rFonts w:ascii="Times New Roman" w:hAnsi="Times New Roman" w:eastAsia="仿宋_GB2312" w:cs="Times New Roman"/>
          <w:sz w:val="32"/>
          <w:szCs w:val="32"/>
        </w:rPr>
        <w:t>度共接待来访团组</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41</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社保基金业务交流</w:t>
      </w:r>
      <w:r>
        <w:rPr>
          <w:rFonts w:ascii="Times New Roman" w:hAnsi="Times New Roman" w:eastAsia="仿宋_GB2312" w:cs="Times New Roman"/>
          <w:sz w:val="32"/>
          <w:szCs w:val="32"/>
        </w:rPr>
        <w:t>发生的接待支出。</w:t>
      </w:r>
    </w:p>
    <w:p w14:paraId="7361DAD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736457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2025</w:t>
      </w:r>
      <w:r>
        <w:rPr>
          <w:rFonts w:ascii="Times New Roman" w:hAnsi="Times New Roman" w:eastAsia="仿宋_GB2312" w:cs="Times New Roman"/>
          <w:sz w:val="32"/>
          <w:szCs w:val="32"/>
        </w:rPr>
        <w:t>年度本单位无政府性基金收支</w:t>
      </w:r>
      <w:r>
        <w:rPr>
          <w:rFonts w:hint="eastAsia" w:ascii="Times New Roman" w:hAnsi="Times New Roman" w:eastAsia="仿宋_GB2312" w:cs="Times New Roman"/>
          <w:sz w:val="32"/>
          <w:szCs w:val="32"/>
          <w:lang w:eastAsia="zh-CN"/>
        </w:rPr>
        <w:t>。</w:t>
      </w:r>
    </w:p>
    <w:p w14:paraId="79983FE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1748561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年度机关运行经费支出</w:t>
      </w:r>
      <w:r>
        <w:rPr>
          <w:rFonts w:hint="eastAsia" w:ascii="Times New Roman" w:hAnsi="Times New Roman" w:eastAsia="仿宋_GB2312" w:cs="Times New Roman"/>
          <w:sz w:val="32"/>
          <w:szCs w:val="32"/>
          <w:lang w:val="en-US" w:eastAsia="zh-CN"/>
        </w:rPr>
        <w:t>58.91</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24.44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29.32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落实过紧日子要求压减支出</w:t>
      </w:r>
      <w:r>
        <w:rPr>
          <w:rFonts w:hint="eastAsia" w:ascii="Times New Roman" w:hAnsi="Times New Roman" w:eastAsia="仿宋_GB2312" w:cs="Times New Roman"/>
          <w:sz w:val="32"/>
          <w:szCs w:val="32"/>
          <w:lang w:eastAsia="zh-CN"/>
        </w:rPr>
        <w:t>。</w:t>
      </w:r>
    </w:p>
    <w:p w14:paraId="0EB057D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140726F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0AEA19C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1A4FE4A6">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5355239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37C162C8">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24D7DEE5">
      <w:pPr>
        <w:pStyle w:val="13"/>
        <w:jc w:val="center"/>
        <w:rPr>
          <w:rFonts w:ascii="Times New Roman" w:hAnsi="Times New Roman" w:cs="Times New Roman"/>
          <w:sz w:val="72"/>
          <w:szCs w:val="72"/>
        </w:rPr>
      </w:pPr>
    </w:p>
    <w:p w14:paraId="4267DAC1">
      <w:pPr>
        <w:pStyle w:val="13"/>
        <w:jc w:val="center"/>
        <w:rPr>
          <w:rFonts w:ascii="Times New Roman" w:hAnsi="Times New Roman" w:cs="Times New Roman"/>
          <w:sz w:val="72"/>
          <w:szCs w:val="72"/>
        </w:rPr>
      </w:pPr>
    </w:p>
    <w:p w14:paraId="7B21F0F8">
      <w:pPr>
        <w:pStyle w:val="13"/>
        <w:jc w:val="center"/>
        <w:rPr>
          <w:rFonts w:ascii="Times New Roman" w:hAnsi="Times New Roman" w:cs="Times New Roman"/>
          <w:sz w:val="72"/>
          <w:szCs w:val="72"/>
        </w:rPr>
      </w:pPr>
    </w:p>
    <w:p w14:paraId="627CFB24">
      <w:pPr>
        <w:pStyle w:val="13"/>
        <w:jc w:val="both"/>
        <w:rPr>
          <w:rFonts w:ascii="Times New Roman" w:hAnsi="Times New Roman" w:cs="Times New Roman"/>
          <w:sz w:val="72"/>
          <w:szCs w:val="72"/>
        </w:rPr>
      </w:pPr>
      <w:bookmarkStart w:id="3" w:name="_GoBack"/>
      <w:bookmarkEnd w:id="3"/>
    </w:p>
    <w:p w14:paraId="2CD96DEF">
      <w:pPr>
        <w:pStyle w:val="13"/>
        <w:spacing w:line="360" w:lineRule="auto"/>
        <w:jc w:val="center"/>
        <w:rPr>
          <w:rFonts w:ascii="Times New Roman" w:hAnsi="Times New Roman" w:eastAsia="方正小标宋_GBK" w:cs="Times New Roman"/>
          <w:sz w:val="52"/>
          <w:szCs w:val="52"/>
        </w:rPr>
      </w:pPr>
    </w:p>
    <w:p w14:paraId="05D04585">
      <w:pPr>
        <w:pStyle w:val="13"/>
        <w:spacing w:line="360" w:lineRule="auto"/>
        <w:jc w:val="center"/>
        <w:rPr>
          <w:rFonts w:ascii="Times New Roman" w:hAnsi="Times New Roman" w:eastAsia="方正小标宋_GBK" w:cs="Times New Roman"/>
          <w:sz w:val="52"/>
          <w:szCs w:val="52"/>
        </w:rPr>
      </w:pPr>
    </w:p>
    <w:p w14:paraId="19AAEED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41F8E50">
      <w:pPr>
        <w:widowControl/>
        <w:jc w:val="left"/>
        <w:rPr>
          <w:rFonts w:ascii="Times New Roman" w:hAnsi="Times New Roman" w:cs="Times New Roman"/>
          <w:color w:val="000000"/>
          <w:kern w:val="0"/>
          <w:sz w:val="32"/>
          <w:szCs w:val="32"/>
        </w:rPr>
      </w:pPr>
    </w:p>
    <w:p w14:paraId="4A80A15C">
      <w:pPr>
        <w:widowControl/>
        <w:spacing w:line="600" w:lineRule="exact"/>
        <w:ind w:firstLine="660"/>
        <w:rPr>
          <w:rFonts w:eastAsia="仿宋_GB2312"/>
          <w:sz w:val="32"/>
          <w:szCs w:val="32"/>
        </w:rPr>
      </w:pPr>
      <w:r>
        <w:rPr>
          <w:rFonts w:eastAsia="仿宋_GB2312"/>
          <w:sz w:val="32"/>
          <w:szCs w:val="32"/>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17E24D99">
      <w:pPr>
        <w:widowControl/>
        <w:spacing w:line="600" w:lineRule="exact"/>
        <w:ind w:firstLine="660"/>
        <w:rPr>
          <w:rFonts w:hint="eastAsia" w:ascii="宋体" w:hAnsi="宋体" w:cs="黑体"/>
          <w:color w:val="000000"/>
          <w:kern w:val="0"/>
          <w:sz w:val="32"/>
          <w:szCs w:val="32"/>
        </w:rPr>
      </w:pPr>
      <w:r>
        <w:rPr>
          <w:rFonts w:eastAsia="仿宋_GB2312"/>
          <w:sz w:val="32"/>
          <w:szCs w:val="32"/>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4267C708">
      <w:pPr>
        <w:pStyle w:val="13"/>
        <w:spacing w:line="360" w:lineRule="auto"/>
        <w:jc w:val="center"/>
        <w:rPr>
          <w:rFonts w:ascii="Times New Roman" w:hAnsi="Times New Roman" w:eastAsia="方正小标宋_GBK" w:cs="Times New Roman"/>
          <w:sz w:val="52"/>
          <w:szCs w:val="52"/>
        </w:rPr>
      </w:pPr>
    </w:p>
    <w:p w14:paraId="69A1BF9C">
      <w:pPr>
        <w:pStyle w:val="13"/>
        <w:spacing w:line="360" w:lineRule="auto"/>
        <w:jc w:val="center"/>
        <w:rPr>
          <w:rFonts w:ascii="Times New Roman" w:hAnsi="Times New Roman" w:eastAsia="方正小标宋_GBK" w:cs="Times New Roman"/>
          <w:sz w:val="52"/>
          <w:szCs w:val="52"/>
        </w:rPr>
      </w:pPr>
    </w:p>
    <w:p w14:paraId="6296750D">
      <w:pPr>
        <w:pStyle w:val="13"/>
        <w:spacing w:line="360" w:lineRule="auto"/>
        <w:jc w:val="center"/>
        <w:rPr>
          <w:rFonts w:ascii="Times New Roman" w:hAnsi="Times New Roman" w:eastAsia="方正小标宋_GBK" w:cs="Times New Roman"/>
          <w:sz w:val="52"/>
          <w:szCs w:val="52"/>
        </w:rPr>
      </w:pPr>
    </w:p>
    <w:p w14:paraId="020728FA">
      <w:pPr>
        <w:pStyle w:val="13"/>
        <w:spacing w:line="360" w:lineRule="auto"/>
        <w:jc w:val="center"/>
        <w:rPr>
          <w:rFonts w:ascii="Times New Roman" w:hAnsi="Times New Roman" w:eastAsia="方正小标宋_GBK" w:cs="Times New Roman"/>
          <w:sz w:val="52"/>
          <w:szCs w:val="52"/>
        </w:rPr>
      </w:pPr>
    </w:p>
    <w:p w14:paraId="7A978EE4">
      <w:pPr>
        <w:pStyle w:val="13"/>
        <w:spacing w:line="360" w:lineRule="auto"/>
        <w:jc w:val="center"/>
        <w:rPr>
          <w:rFonts w:ascii="Times New Roman" w:hAnsi="Times New Roman" w:eastAsia="方正小标宋_GBK" w:cs="Times New Roman"/>
          <w:sz w:val="52"/>
          <w:szCs w:val="52"/>
        </w:rPr>
      </w:pPr>
    </w:p>
    <w:p w14:paraId="721558A1">
      <w:pPr>
        <w:pStyle w:val="13"/>
        <w:spacing w:line="360" w:lineRule="auto"/>
        <w:jc w:val="center"/>
        <w:rPr>
          <w:rFonts w:ascii="Times New Roman" w:hAnsi="Times New Roman" w:eastAsia="方正小标宋_GBK" w:cs="Times New Roman"/>
          <w:sz w:val="52"/>
          <w:szCs w:val="52"/>
        </w:rPr>
      </w:pPr>
    </w:p>
    <w:p w14:paraId="7307739B">
      <w:pPr>
        <w:pStyle w:val="13"/>
        <w:spacing w:line="360" w:lineRule="auto"/>
        <w:jc w:val="center"/>
        <w:rPr>
          <w:rFonts w:ascii="Times New Roman" w:hAnsi="Times New Roman" w:eastAsia="方正小标宋_GBK" w:cs="Times New Roman"/>
          <w:sz w:val="52"/>
          <w:szCs w:val="52"/>
        </w:rPr>
      </w:pPr>
    </w:p>
    <w:p w14:paraId="66272BB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D3DAD60">
      <w:pPr>
        <w:rPr>
          <w:rFonts w:ascii="Times New Roman" w:hAnsi="Times New Roman" w:cs="Times New Roman"/>
          <w:sz w:val="72"/>
          <w:szCs w:val="72"/>
        </w:rPr>
      </w:pPr>
    </w:p>
    <w:p w14:paraId="2F4F6282">
      <w:pPr>
        <w:pStyle w:val="13"/>
        <w:spacing w:line="600" w:lineRule="exact"/>
        <w:ind w:firstLine="640" w:firstLineChars="200"/>
        <w:rPr>
          <w:rFonts w:ascii="Times New Roman" w:hAnsi="Times New Roman" w:eastAsia="仿宋_GB2312" w:cs="Times New Roman"/>
          <w:sz w:val="32"/>
          <w:szCs w:val="32"/>
        </w:rPr>
      </w:pPr>
      <w:r>
        <w:rPr>
          <w:rFonts w:hint="eastAsia" w:ascii="黑体" w:hAnsi="黑体" w:eastAsia="黑体" w:cs="黑体"/>
          <w:color w:val="000000"/>
          <w:kern w:val="0"/>
          <w:sz w:val="32"/>
          <w:szCs w:val="32"/>
          <w:lang w:val="en-US" w:eastAsia="zh-CN" w:bidi="ar-SA"/>
        </w:rPr>
        <w:t>202</w:t>
      </w:r>
      <w:r>
        <w:rPr>
          <w:rFonts w:hint="eastAsia" w:hAnsi="黑体" w:cs="黑体"/>
          <w:color w:val="000000"/>
          <w:kern w:val="0"/>
          <w:sz w:val="32"/>
          <w:szCs w:val="32"/>
          <w:lang w:val="en-US" w:eastAsia="zh-CN" w:bidi="ar-SA"/>
        </w:rPr>
        <w:t>5</w:t>
      </w:r>
      <w:r>
        <w:rPr>
          <w:rFonts w:hint="eastAsia" w:ascii="黑体" w:hAnsi="黑体" w:eastAsia="黑体" w:cs="黑体"/>
          <w:color w:val="000000"/>
          <w:kern w:val="0"/>
          <w:sz w:val="32"/>
          <w:szCs w:val="32"/>
          <w:lang w:val="en-US" w:eastAsia="zh-CN" w:bidi="ar-SA"/>
        </w:rPr>
        <w:t>年度蓝山县社会保险服务中心整体支出绩效自评报告</w:t>
      </w:r>
    </w:p>
    <w:p w14:paraId="165CE12D">
      <w:pPr>
        <w:pStyle w:val="8"/>
        <w:keepNext w:val="0"/>
        <w:keepLines w:val="0"/>
        <w:pageBreakBefore w:val="0"/>
        <w:widowControl/>
        <w:kinsoku/>
        <w:wordWrap/>
        <w:overflowPunct/>
        <w:topLinePunct w:val="0"/>
        <w:autoSpaceDE/>
        <w:autoSpaceDN/>
        <w:bidi w:val="0"/>
        <w:adjustRightInd/>
        <w:spacing w:before="100" w:beforeAutospacing="1" w:after="100" w:afterAutospacing="1" w:line="600" w:lineRule="exact"/>
        <w:ind w:firstLine="640" w:firstLineChars="200"/>
        <w:textAlignment w:val="auto"/>
        <w:rPr>
          <w:rFonts w:hint="eastAsia"/>
        </w:rPr>
      </w:pPr>
      <w:r>
        <w:rPr>
          <w:rFonts w:eastAsia="仿宋_GB2312"/>
          <w:kern w:val="0"/>
          <w:sz w:val="32"/>
          <w:szCs w:val="32"/>
        </w:rPr>
        <w:t>为进一步规范财政资金管理，牢固树立预算绩效理念，强化支出责任，提高财政资金使用效益，我们根据《蓝山县关于全面推进预算绩效管理的实施意见》，结合我</w:t>
      </w:r>
      <w:r>
        <w:rPr>
          <w:rFonts w:hint="eastAsia" w:eastAsia="仿宋_GB2312"/>
          <w:kern w:val="0"/>
          <w:sz w:val="32"/>
          <w:szCs w:val="32"/>
        </w:rPr>
        <w:t>单位</w:t>
      </w:r>
      <w:r>
        <w:rPr>
          <w:rFonts w:eastAsia="仿宋_GB2312"/>
          <w:kern w:val="0"/>
          <w:sz w:val="32"/>
          <w:szCs w:val="32"/>
        </w:rPr>
        <w:t>的具体情况，认真组织开展了202</w:t>
      </w:r>
      <w:r>
        <w:rPr>
          <w:rFonts w:hint="eastAsia" w:eastAsia="仿宋_GB2312"/>
          <w:kern w:val="0"/>
          <w:sz w:val="32"/>
          <w:szCs w:val="32"/>
          <w:lang w:val="en-US" w:eastAsia="zh-CN"/>
        </w:rPr>
        <w:t>5</w:t>
      </w:r>
      <w:r>
        <w:rPr>
          <w:rFonts w:eastAsia="仿宋_GB2312"/>
          <w:kern w:val="0"/>
          <w:sz w:val="32"/>
          <w:szCs w:val="32"/>
        </w:rPr>
        <w:t>年度部门绩效自评工作，现将我部门202</w:t>
      </w:r>
      <w:r>
        <w:rPr>
          <w:rFonts w:hint="eastAsia" w:eastAsia="仿宋_GB2312"/>
          <w:kern w:val="0"/>
          <w:sz w:val="32"/>
          <w:szCs w:val="32"/>
          <w:lang w:val="en-US" w:eastAsia="zh-CN"/>
        </w:rPr>
        <w:t>5</w:t>
      </w:r>
      <w:r>
        <w:rPr>
          <w:rFonts w:eastAsia="仿宋_GB2312"/>
          <w:kern w:val="0"/>
          <w:sz w:val="32"/>
          <w:szCs w:val="32"/>
        </w:rPr>
        <w:t xml:space="preserve">年度部门整体支出绩效评价情况报告如下： </w:t>
      </w:r>
    </w:p>
    <w:p w14:paraId="442EA9A2">
      <w:pPr>
        <w:keepNext w:val="0"/>
        <w:keepLines w:val="0"/>
        <w:pageBreakBefore w:val="0"/>
        <w:kinsoku/>
        <w:wordWrap/>
        <w:overflowPunct/>
        <w:topLinePunct w:val="0"/>
        <w:autoSpaceDE/>
        <w:autoSpaceDN/>
        <w:bidi w:val="0"/>
        <w:adjustRightInd/>
        <w:snapToGrid w:val="0"/>
        <w:spacing w:line="600" w:lineRule="exact"/>
        <w:textAlignment w:val="auto"/>
        <w:rPr>
          <w:rFonts w:hint="eastAsia" w:eastAsia="仿宋_GB2312"/>
          <w:kern w:val="0"/>
          <w:sz w:val="32"/>
          <w:szCs w:val="32"/>
        </w:rPr>
      </w:pPr>
      <w:r>
        <w:rPr>
          <w:rFonts w:hint="eastAsia" w:eastAsia="仿宋_GB2312"/>
          <w:kern w:val="0"/>
          <w:sz w:val="32"/>
          <w:szCs w:val="32"/>
        </w:rPr>
        <w:t>一、单位情况</w:t>
      </w:r>
    </w:p>
    <w:p w14:paraId="49214BB7">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eastAsia="仿宋_GB2312"/>
          <w:kern w:val="0"/>
          <w:sz w:val="32"/>
          <w:szCs w:val="32"/>
        </w:rPr>
      </w:pPr>
      <w:r>
        <w:rPr>
          <w:rFonts w:hint="eastAsia" w:eastAsia="仿宋_GB2312"/>
          <w:kern w:val="0"/>
          <w:sz w:val="32"/>
          <w:szCs w:val="32"/>
        </w:rPr>
        <w:t>（一）基本情况。</w:t>
      </w:r>
    </w:p>
    <w:p w14:paraId="4F428E07">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eastAsia="仿宋_GB2312"/>
          <w:kern w:val="0"/>
          <w:sz w:val="32"/>
          <w:szCs w:val="32"/>
        </w:rPr>
      </w:pPr>
      <w:r>
        <w:rPr>
          <w:rFonts w:eastAsia="仿宋_GB2312"/>
          <w:kern w:val="0"/>
          <w:sz w:val="32"/>
          <w:szCs w:val="32"/>
        </w:rPr>
        <w:tab/>
      </w:r>
      <w:r>
        <w:rPr>
          <w:rFonts w:hint="eastAsia" w:eastAsia="仿宋_GB2312"/>
          <w:kern w:val="0"/>
          <w:sz w:val="32"/>
          <w:szCs w:val="32"/>
        </w:rPr>
        <w:t>1．</w:t>
      </w:r>
      <w:r>
        <w:rPr>
          <w:rFonts w:eastAsia="仿宋_GB2312"/>
          <w:kern w:val="0"/>
          <w:sz w:val="32"/>
          <w:szCs w:val="32"/>
        </w:rPr>
        <w:t>职能职责</w:t>
      </w:r>
      <w:r>
        <w:rPr>
          <w:rFonts w:hint="eastAsia" w:eastAsia="仿宋_GB2312"/>
          <w:kern w:val="0"/>
          <w:sz w:val="32"/>
          <w:szCs w:val="32"/>
        </w:rPr>
        <w:t>。</w:t>
      </w:r>
    </w:p>
    <w:p w14:paraId="67FADA02">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eastAsia="仿宋_GB2312"/>
          <w:kern w:val="0"/>
          <w:sz w:val="32"/>
          <w:szCs w:val="32"/>
        </w:rPr>
      </w:pPr>
      <w:r>
        <w:rPr>
          <w:rFonts w:hint="eastAsia" w:eastAsia="仿宋_GB2312"/>
          <w:kern w:val="0"/>
          <w:sz w:val="32"/>
          <w:szCs w:val="32"/>
        </w:rPr>
        <w:t>贯彻执行上级有关机关事业养老保险、企业社会养老保险、城乡居民基本养老保险和工伤保险工作的方针政策和法律法规,为社会保险行政管理提供经办服务保障。承担落实职工养老保险中央调剂金制度的经办工作等。</w:t>
      </w:r>
    </w:p>
    <w:p w14:paraId="1BDC3168">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eastAsia="仿宋_GB2312"/>
          <w:kern w:val="0"/>
          <w:sz w:val="32"/>
          <w:szCs w:val="32"/>
        </w:rPr>
      </w:pPr>
      <w:r>
        <w:rPr>
          <w:rFonts w:hint="eastAsia" w:eastAsia="仿宋_GB2312"/>
          <w:kern w:val="0"/>
          <w:sz w:val="32"/>
          <w:szCs w:val="32"/>
        </w:rPr>
        <w:t>2．</w:t>
      </w:r>
      <w:r>
        <w:rPr>
          <w:rFonts w:eastAsia="仿宋_GB2312"/>
          <w:kern w:val="0"/>
          <w:sz w:val="32"/>
          <w:szCs w:val="32"/>
        </w:rPr>
        <w:t>机构设置</w:t>
      </w:r>
      <w:r>
        <w:rPr>
          <w:rFonts w:hint="eastAsia" w:eastAsia="仿宋_GB2312"/>
          <w:kern w:val="0"/>
          <w:sz w:val="32"/>
          <w:szCs w:val="32"/>
        </w:rPr>
        <w:t>。</w:t>
      </w:r>
    </w:p>
    <w:p w14:paraId="06CD4099">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eastAsia="仿宋_GB2312"/>
          <w:kern w:val="0"/>
          <w:sz w:val="32"/>
          <w:szCs w:val="32"/>
          <w:lang w:val="en-US" w:eastAsia="zh-CN"/>
        </w:rPr>
      </w:pPr>
      <w:r>
        <w:rPr>
          <w:rFonts w:hint="eastAsia" w:eastAsia="仿宋_GB2312"/>
          <w:kern w:val="0"/>
          <w:sz w:val="32"/>
          <w:szCs w:val="32"/>
        </w:rPr>
        <w:t>本单位2021年由原社会保险事业管理中心、原机关养老保险事业管理中心、原工伤保险中心、原城乡居民养老保险中心四个机构合并成立新的蓝山县社会保险服务中心</w:t>
      </w:r>
      <w:r>
        <w:rPr>
          <w:rFonts w:hint="eastAsia" w:eastAsia="仿宋_GB2312"/>
          <w:kern w:val="0"/>
          <w:sz w:val="32"/>
          <w:szCs w:val="32"/>
          <w:lang w:val="en-US" w:eastAsia="zh-CN"/>
        </w:rPr>
        <w:t>。</w:t>
      </w:r>
    </w:p>
    <w:p w14:paraId="6F7C7A24">
      <w:pPr>
        <w:keepNext w:val="0"/>
        <w:keepLines w:val="0"/>
        <w:pageBreakBefore w:val="0"/>
        <w:numPr>
          <w:ilvl w:val="0"/>
          <w:numId w:val="3"/>
        </w:numPr>
        <w:kinsoku/>
        <w:wordWrap/>
        <w:overflowPunct/>
        <w:topLinePunct w:val="0"/>
        <w:autoSpaceDE/>
        <w:autoSpaceDN/>
        <w:bidi w:val="0"/>
        <w:adjustRightInd/>
        <w:snapToGrid w:val="0"/>
        <w:spacing w:line="600" w:lineRule="exact"/>
        <w:ind w:firstLine="640" w:firstLineChars="200"/>
        <w:textAlignment w:val="auto"/>
        <w:rPr>
          <w:rFonts w:hint="eastAsia" w:eastAsia="仿宋_GB2312"/>
          <w:kern w:val="0"/>
          <w:sz w:val="32"/>
          <w:szCs w:val="32"/>
        </w:rPr>
      </w:pPr>
      <w:r>
        <w:rPr>
          <w:rFonts w:hint="eastAsia" w:eastAsia="仿宋_GB2312"/>
          <w:kern w:val="0"/>
          <w:sz w:val="32"/>
          <w:szCs w:val="32"/>
        </w:rPr>
        <w:t>人员情况。</w:t>
      </w:r>
    </w:p>
    <w:p w14:paraId="6B3BAD16">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eastAsia="仿宋_GB2312"/>
          <w:kern w:val="0"/>
          <w:sz w:val="32"/>
          <w:szCs w:val="32"/>
        </w:rPr>
      </w:pPr>
      <w:r>
        <w:rPr>
          <w:rFonts w:eastAsia="仿宋_GB2312"/>
          <w:kern w:val="0"/>
          <w:sz w:val="32"/>
          <w:szCs w:val="32"/>
        </w:rPr>
        <w:t>本单位为副科级全额拨款事业单位，本单位实有人数</w:t>
      </w:r>
      <w:r>
        <w:rPr>
          <w:rFonts w:hint="eastAsia" w:eastAsia="仿宋_GB2312"/>
          <w:kern w:val="0"/>
          <w:sz w:val="32"/>
          <w:szCs w:val="32"/>
        </w:rPr>
        <w:t>4</w:t>
      </w:r>
      <w:r>
        <w:rPr>
          <w:rFonts w:hint="eastAsia" w:eastAsia="仿宋_GB2312"/>
          <w:kern w:val="0"/>
          <w:sz w:val="32"/>
          <w:szCs w:val="32"/>
          <w:lang w:val="en-US" w:eastAsia="zh-CN"/>
        </w:rPr>
        <w:t>4</w:t>
      </w:r>
      <w:r>
        <w:rPr>
          <w:rFonts w:eastAsia="仿宋_GB2312"/>
          <w:kern w:val="0"/>
          <w:sz w:val="32"/>
          <w:szCs w:val="32"/>
        </w:rPr>
        <w:t>人，其中在编3</w:t>
      </w:r>
      <w:r>
        <w:rPr>
          <w:rFonts w:hint="eastAsia" w:eastAsia="仿宋_GB2312"/>
          <w:kern w:val="0"/>
          <w:sz w:val="32"/>
          <w:szCs w:val="32"/>
          <w:lang w:val="en-US" w:eastAsia="zh-CN"/>
        </w:rPr>
        <w:t>4</w:t>
      </w:r>
      <w:r>
        <w:rPr>
          <w:rFonts w:eastAsia="仿宋_GB2312"/>
          <w:kern w:val="0"/>
          <w:sz w:val="32"/>
          <w:szCs w:val="32"/>
        </w:rPr>
        <w:t>人，公益性岗位人员</w:t>
      </w:r>
      <w:r>
        <w:rPr>
          <w:rFonts w:hint="eastAsia" w:eastAsia="仿宋_GB2312"/>
          <w:kern w:val="0"/>
          <w:sz w:val="32"/>
          <w:szCs w:val="32"/>
        </w:rPr>
        <w:t>1</w:t>
      </w:r>
      <w:r>
        <w:rPr>
          <w:rFonts w:hint="eastAsia" w:eastAsia="仿宋_GB2312"/>
          <w:kern w:val="0"/>
          <w:sz w:val="32"/>
          <w:szCs w:val="32"/>
          <w:lang w:val="en-US" w:eastAsia="zh-CN"/>
        </w:rPr>
        <w:t>0</w:t>
      </w:r>
      <w:r>
        <w:rPr>
          <w:rFonts w:eastAsia="仿宋_GB2312"/>
          <w:kern w:val="0"/>
          <w:sz w:val="32"/>
          <w:szCs w:val="32"/>
        </w:rPr>
        <w:t xml:space="preserve">人。 </w:t>
      </w:r>
    </w:p>
    <w:p w14:paraId="0C43B316">
      <w:pPr>
        <w:keepNext w:val="0"/>
        <w:keepLines w:val="0"/>
        <w:pageBreakBefore w:val="0"/>
        <w:numPr>
          <w:ilvl w:val="0"/>
          <w:numId w:val="3"/>
        </w:numPr>
        <w:kinsoku/>
        <w:wordWrap/>
        <w:overflowPunct/>
        <w:topLinePunct w:val="0"/>
        <w:autoSpaceDE/>
        <w:autoSpaceDN/>
        <w:bidi w:val="0"/>
        <w:adjustRightInd/>
        <w:snapToGrid w:val="0"/>
        <w:spacing w:line="600" w:lineRule="exact"/>
        <w:ind w:left="0" w:leftChars="0" w:firstLine="640" w:firstLineChars="200"/>
        <w:textAlignment w:val="auto"/>
        <w:rPr>
          <w:rFonts w:hint="eastAsia" w:eastAsia="仿宋_GB2312"/>
          <w:kern w:val="0"/>
          <w:sz w:val="32"/>
          <w:szCs w:val="32"/>
          <w:lang w:val="en-US" w:eastAsia="zh-CN"/>
        </w:rPr>
      </w:pPr>
      <w:r>
        <w:rPr>
          <w:rFonts w:hint="eastAsia" w:ascii="Times New Roman" w:hAnsi="Times New Roman" w:eastAsia="仿宋_GB2312" w:cs="Times New Roman"/>
          <w:kern w:val="0"/>
          <w:sz w:val="32"/>
          <w:szCs w:val="32"/>
        </w:rPr>
        <w:t>收入支出决算总体情况</w:t>
      </w:r>
      <w:r>
        <w:rPr>
          <w:rFonts w:hint="eastAsia" w:ascii="Times New Roman" w:hAnsi="Times New Roman" w:eastAsia="仿宋_GB2312" w:cs="Times New Roman"/>
          <w:kern w:val="0"/>
          <w:sz w:val="32"/>
          <w:szCs w:val="32"/>
          <w:lang w:eastAsia="zh-CN"/>
        </w:rPr>
        <w:t>。</w:t>
      </w:r>
    </w:p>
    <w:p w14:paraId="658D5BC6">
      <w:pPr>
        <w:pStyle w:val="13"/>
        <w:spacing w:line="600" w:lineRule="exact"/>
        <w:ind w:firstLine="640" w:firstLineChars="200"/>
        <w:rPr>
          <w:rFonts w:hint="eastAsia" w:eastAsia="仿宋_GB2312" w:asciiTheme="minorHAnsi" w:hAnsiTheme="minorHAnsi" w:cstheme="minorBidi"/>
          <w:color w:val="auto"/>
          <w:kern w:val="0"/>
          <w:sz w:val="32"/>
          <w:szCs w:val="32"/>
          <w:lang w:val="en-US" w:eastAsia="zh-CN" w:bidi="ar-SA"/>
        </w:rPr>
      </w:pPr>
      <w:r>
        <w:rPr>
          <w:rFonts w:hint="eastAsia" w:eastAsia="仿宋_GB2312" w:asciiTheme="minorHAnsi" w:hAnsiTheme="minorHAnsi" w:cstheme="minorBidi"/>
          <w:color w:val="auto"/>
          <w:kern w:val="0"/>
          <w:sz w:val="32"/>
          <w:szCs w:val="32"/>
          <w:lang w:val="en-US" w:eastAsia="zh-CN" w:bidi="ar-SA"/>
        </w:rPr>
        <w:t>2025年度收、支总计537.69万元。与上年相比，增加33.03万元，增长6.55%，主要是因为较上年增加在职人员开支及必要的运转经费增加。</w:t>
      </w:r>
    </w:p>
    <w:p w14:paraId="4F5AFF68">
      <w:pPr>
        <w:pStyle w:val="13"/>
        <w:numPr>
          <w:ilvl w:val="0"/>
          <w:numId w:val="3"/>
        </w:numPr>
        <w:spacing w:line="600" w:lineRule="exact"/>
        <w:ind w:left="0" w:leftChars="0" w:firstLine="640" w:firstLineChars="200"/>
        <w:rPr>
          <w:rFonts w:eastAsia="仿宋_GB2312"/>
          <w:kern w:val="0"/>
          <w:sz w:val="32"/>
          <w:szCs w:val="32"/>
        </w:rPr>
      </w:pPr>
      <w:r>
        <w:rPr>
          <w:rFonts w:hint="eastAsia" w:eastAsia="仿宋_GB2312" w:asciiTheme="minorHAnsi" w:hAnsiTheme="minorHAnsi" w:cstheme="minorBidi"/>
          <w:color w:val="auto"/>
          <w:kern w:val="0"/>
          <w:sz w:val="32"/>
          <w:szCs w:val="32"/>
          <w:lang w:val="en-US" w:eastAsia="zh-CN" w:bidi="ar-SA"/>
        </w:rPr>
        <w:t>基本支出总体情况。</w:t>
      </w:r>
    </w:p>
    <w:p w14:paraId="0DFFB286">
      <w:pPr>
        <w:pStyle w:val="13"/>
        <w:numPr>
          <w:ilvl w:val="0"/>
          <w:numId w:val="0"/>
        </w:numPr>
        <w:spacing w:line="600" w:lineRule="exact"/>
        <w:ind w:firstLine="640" w:firstLineChars="200"/>
        <w:rPr>
          <w:rFonts w:hint="eastAsia" w:eastAsia="仿宋_GB2312" w:asciiTheme="minorHAnsi" w:hAnsiTheme="minorHAnsi" w:cstheme="minorBidi"/>
          <w:color w:val="auto"/>
          <w:kern w:val="0"/>
          <w:sz w:val="32"/>
          <w:szCs w:val="32"/>
          <w:lang w:val="en-US" w:eastAsia="zh-CN" w:bidi="ar-SA"/>
        </w:rPr>
      </w:pPr>
      <w:r>
        <w:rPr>
          <w:rFonts w:hint="eastAsia" w:eastAsia="仿宋_GB2312" w:asciiTheme="minorHAnsi" w:hAnsiTheme="minorHAnsi" w:cstheme="minorBidi"/>
          <w:color w:val="auto"/>
          <w:kern w:val="0"/>
          <w:sz w:val="32"/>
          <w:szCs w:val="32"/>
          <w:lang w:val="en-US" w:eastAsia="zh-CN" w:bidi="ar-SA"/>
        </w:rPr>
        <w:t>2025年度一般公共预算财政拨款基本支出450.48万元，其中：人员经费391.57万元，占基本支出的86.92%,主要包括基本工资、津贴补贴、奖金机关事业单位基本养老保险费、职业年金缴费、职工基本医疗保险缴费、其他社会保障缴费、其他工资福利支出、抚恤金、生活补助</w:t>
      </w:r>
      <w:r>
        <w:rPr>
          <w:rFonts w:hint="eastAsia" w:eastAsia="仿宋_GB2312" w:cstheme="minorBidi"/>
          <w:color w:val="auto"/>
          <w:kern w:val="0"/>
          <w:sz w:val="32"/>
          <w:szCs w:val="32"/>
          <w:lang w:val="en-US" w:eastAsia="zh-CN" w:bidi="ar-SA"/>
        </w:rPr>
        <w:t>；</w:t>
      </w:r>
      <w:r>
        <w:rPr>
          <w:rFonts w:hint="eastAsia" w:eastAsia="仿宋_GB2312" w:asciiTheme="minorHAnsi" w:hAnsiTheme="minorHAnsi" w:cstheme="minorBidi"/>
          <w:color w:val="auto"/>
          <w:kern w:val="0"/>
          <w:sz w:val="32"/>
          <w:szCs w:val="32"/>
          <w:lang w:val="en-US" w:eastAsia="zh-CN" w:bidi="ar-SA"/>
        </w:rPr>
        <w:t>公用经费58.91万元，占基本支出的13.08%，主要包括办公费、印刷费、咨询费、手续费、差旅费、维修费、公务接待费、工会经费、其他交通费用、其他商品和服务支出。</w:t>
      </w:r>
    </w:p>
    <w:p w14:paraId="4691D543">
      <w:pPr>
        <w:pStyle w:val="13"/>
        <w:numPr>
          <w:ilvl w:val="0"/>
          <w:numId w:val="0"/>
        </w:numPr>
        <w:spacing w:line="600" w:lineRule="exact"/>
        <w:ind w:leftChars="0"/>
        <w:rPr>
          <w:rFonts w:eastAsia="仿宋_GB2312"/>
          <w:kern w:val="0"/>
          <w:sz w:val="32"/>
          <w:szCs w:val="32"/>
        </w:rPr>
      </w:pPr>
      <w:r>
        <w:rPr>
          <w:rFonts w:hint="eastAsia" w:eastAsia="仿宋_GB2312"/>
          <w:kern w:val="0"/>
          <w:sz w:val="32"/>
          <w:szCs w:val="32"/>
          <w:lang w:eastAsia="zh-CN"/>
        </w:rPr>
        <w:t>二、</w:t>
      </w:r>
      <w:r>
        <w:rPr>
          <w:rFonts w:eastAsia="仿宋_GB2312"/>
          <w:kern w:val="0"/>
          <w:sz w:val="32"/>
          <w:szCs w:val="32"/>
        </w:rPr>
        <w:t xml:space="preserve">当年取得的主要事业成效 </w:t>
      </w:r>
    </w:p>
    <w:p w14:paraId="09E5B23D">
      <w:pPr>
        <w:pStyle w:val="13"/>
        <w:numPr>
          <w:ilvl w:val="0"/>
          <w:numId w:val="0"/>
        </w:numPr>
        <w:spacing w:line="600" w:lineRule="exact"/>
        <w:ind w:leftChars="0"/>
        <w:rPr>
          <w:rFonts w:hint="eastAsia" w:eastAsia="仿宋_GB2312"/>
          <w:kern w:val="0"/>
          <w:sz w:val="32"/>
          <w:szCs w:val="32"/>
        </w:rPr>
      </w:pPr>
      <w:r>
        <w:rPr>
          <w:rFonts w:hint="eastAsia" w:eastAsia="仿宋_GB2312"/>
          <w:kern w:val="0"/>
          <w:sz w:val="32"/>
          <w:szCs w:val="32"/>
        </w:rPr>
        <w:t>（一）聚焦扩面提标，民生保障网织得更密更牢</w:t>
      </w:r>
    </w:p>
    <w:p w14:paraId="7D006740">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1.参保覆盖持续扩大。深入实施全民参保计划，精准对接重点群体，开展了“温暖社保－社保服务进万家”宣传系列活动，通过政策宣讲、新媒体推送、入户走访等形式，有效提升政策知晓率和参保吸引力。截止2025年12月，城乡居民基本养老保险参保人数达209383人，完成年度任务（214500人）的97.61%；企业职工基本养老保险在职参保人数达21767人，完成年度任务（21400人）的101.71%；机关事业单位养老保险参保人数稳定在9584人，实现应保尽保；工伤保险参保人数达31917人，完成年度任务（42300人）的75.45%，较上年同期显著提升。</w:t>
      </w:r>
    </w:p>
    <w:p w14:paraId="1F5B83F2">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2.待遇水平稳步提高。坚决落实待遇调整政策，确保社保待遇按时足额发放。社保基金运行总体平稳，通过加强征缴、争取上级补助、优化支出结构等措施，社保基金可持续能力得到进一步巩固。2025年，累计发放城乡居民养老保险待遇约1.59亿元，惠及待遇领取人员近6.52万人；发放企业职工基本养老保险待遇约1.99亿元，惠及退休人员0.66万人；发放机关事业单位养老保险待遇约3.28亿元，惠及退休人员0.54万人。月人均养老金水平较2024年稳步提升。</w:t>
      </w:r>
    </w:p>
    <w:p w14:paraId="160D38E7">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3.基金运行稳健平稳。强化基金征缴，与税务部门密切协作，实现社保费征收平稳高效。全年各项社保基金总收入9.85亿元，同比增长11.35%。其中，城乡居民养老保险基金收入2.68亿元，企业职工基本养老保险收入3.61亿元，机关事业单位养老保险基金收入3.3亿元，工伤保险基金收入0.25亿元。</w:t>
      </w:r>
    </w:p>
    <w:p w14:paraId="01FF37D1">
      <w:pPr>
        <w:pStyle w:val="13"/>
        <w:numPr>
          <w:ilvl w:val="0"/>
          <w:numId w:val="0"/>
        </w:numPr>
        <w:spacing w:line="600" w:lineRule="exact"/>
        <w:ind w:leftChars="0"/>
        <w:rPr>
          <w:rFonts w:hint="eastAsia" w:eastAsia="仿宋_GB2312"/>
          <w:kern w:val="0"/>
          <w:sz w:val="32"/>
          <w:szCs w:val="32"/>
        </w:rPr>
      </w:pPr>
      <w:r>
        <w:rPr>
          <w:rFonts w:hint="eastAsia" w:eastAsia="仿宋_GB2312"/>
          <w:kern w:val="0"/>
          <w:sz w:val="32"/>
          <w:szCs w:val="32"/>
        </w:rPr>
        <w:t>（二）聚焦风险防控，基金安全网扎得更紧更实</w:t>
      </w:r>
    </w:p>
    <w:p w14:paraId="549ACFBD">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1.内控体系建设持续深化。优化业务经办、财务管理、信息系统管理等关键环节的流程控制。聚焦社保基金“收、管、发”等关键环节，明确岗位职责，强化不相容岗位分离，形成操作有规、风险可控、责任可溯的内控闭环。常态化开展内控自查自纠，对发现的风险隐患立行立改。</w:t>
      </w:r>
    </w:p>
    <w:p w14:paraId="2D3F5852">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2.基金监管效能显著提升。充分运用大数据比对等现代化手段，开展社保基金支付风险常态化监测预警。重点针对重复领取待遇、死亡冒领、虚假工伤、欺诈骗保等行为进行精准核查。高效处理部、省、市下发的各类疑点数据，2025年1至12月接收到部级、省、市疑点数据1021条，已核实人数1021条，核实率为100%，应整改人数15人，已整改人数15人，整改率为100%，应追缴资金8.3万元，已追缴资金8.3万元，追缴率为100%。联合医保、卫健等部门，定期对工伤保险协议医疗机构开展监管检查，规范医疗服务行为，严防基金跑冒滴漏。</w:t>
      </w:r>
    </w:p>
    <w:p w14:paraId="3BF4B8C7">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3.警示教育常态长效开展。自觉接受审计监督和社会监督。畅通“12333”热线、信访渠道，及时回应和处理群众关切。加强与纪检监察、公安、司法等部门的协作配合，严厉打击社会保险领域违法违规行为。每季度按时开展基金安全警示教育，通过案例剖析、法规学习、风险提示等方式，不断增强全体工作人员的法纪意识、责任意识和风险防范能力，筑牢拒腐防变的思想防线。</w:t>
      </w:r>
    </w:p>
    <w:p w14:paraId="2453C910">
      <w:pPr>
        <w:pStyle w:val="13"/>
        <w:numPr>
          <w:ilvl w:val="0"/>
          <w:numId w:val="0"/>
        </w:numPr>
        <w:spacing w:line="600" w:lineRule="exact"/>
        <w:ind w:leftChars="0"/>
        <w:rPr>
          <w:rFonts w:hint="eastAsia" w:eastAsia="仿宋_GB2312"/>
          <w:kern w:val="0"/>
          <w:sz w:val="32"/>
          <w:szCs w:val="32"/>
        </w:rPr>
      </w:pPr>
      <w:r>
        <w:rPr>
          <w:rFonts w:hint="eastAsia" w:eastAsia="仿宋_GB2312"/>
          <w:kern w:val="0"/>
          <w:sz w:val="32"/>
          <w:szCs w:val="32"/>
        </w:rPr>
        <w:t>（三）聚焦优质高效，为民服务网办得更快更暖</w:t>
      </w:r>
    </w:p>
    <w:p w14:paraId="0783E089">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1.深化“智慧社保”建设。深化“一网通办”“跨省通办”，社保高频服务事项网办率不断提升，通过“智慧人社”等渠道，实现企业职工基本养老保险关系转移、待遇资格认证、参保证明打印等业务“掌上办”“网上办”。严格落实社保关系转移接续政策，强化线上线下服务融合。截至2025年12月底，共办理城乡居民基本养老保险关系转移接续28人次（其中转入4人次，转出14人次）；企业职工基本养老保险关系转移接续675人次（其中转入631人次，转出44人次）；机关事业单位养老保险关系转移接续62人次（其中转入39人次，转出23人次），提升群众异地办事便捷度。</w:t>
      </w:r>
    </w:p>
    <w:p w14:paraId="7F43559F">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2.拓展“社银合作”广度。建立社银合作服务网点运行管理机制，以制度建设推动服务网点规范服务。利用银行自助一体机、便携智能终端，拓宽服务渠道，将社保经办窗口延伸至村级，变“银行柜台”为“社保前台”，有效提升社保服务质效。通过“社银合作”服务，参保人员可以在银行网点自助办理参保登记、生存认证等业务，极大地方便了群众，经办效率大幅提升。自“社银一体化”服务网点开办以来，已累计为群众现场办理各类社保业务1500余件。</w:t>
      </w:r>
    </w:p>
    <w:p w14:paraId="655037BF">
      <w:pPr>
        <w:pStyle w:val="13"/>
        <w:numPr>
          <w:ilvl w:val="0"/>
          <w:numId w:val="0"/>
        </w:numPr>
        <w:spacing w:line="600" w:lineRule="exact"/>
        <w:ind w:leftChars="0" w:firstLine="640" w:firstLineChars="200"/>
        <w:rPr>
          <w:rFonts w:hint="eastAsia" w:eastAsia="仿宋_GB2312"/>
          <w:kern w:val="0"/>
          <w:sz w:val="32"/>
          <w:szCs w:val="32"/>
        </w:rPr>
      </w:pPr>
      <w:r>
        <w:rPr>
          <w:rFonts w:hint="eastAsia" w:eastAsia="仿宋_GB2312"/>
          <w:kern w:val="0"/>
          <w:sz w:val="32"/>
          <w:szCs w:val="32"/>
        </w:rPr>
        <w:t>3.做优“暖心服务”品牌。在县政务中心设置了综合业务窗口，实现“一件事一次办”，让群众办事更省心，平均办事时限缩短60%以上，切实减轻群众办事负担。巩固提升县政务大厅、乡镇（街道）便民服务中心、村（社区）代办点三级服务网络功能。加强线上服务平台运维保障，提供“不打烊”在线服务。针对老年人、残疾人等特殊群体，开辟“绿色通道”，提供“上门办”“帮办代办”等贴心服务。</w:t>
      </w:r>
    </w:p>
    <w:p w14:paraId="3A03AD77">
      <w:pPr>
        <w:pStyle w:val="13"/>
        <w:numPr>
          <w:ilvl w:val="0"/>
          <w:numId w:val="0"/>
        </w:numPr>
        <w:spacing w:line="600" w:lineRule="exact"/>
        <w:ind w:leftChars="0" w:firstLine="640" w:firstLineChars="200"/>
        <w:rPr>
          <w:rFonts w:eastAsia="仿宋_GB2312"/>
          <w:kern w:val="0"/>
          <w:sz w:val="32"/>
          <w:szCs w:val="32"/>
        </w:rPr>
      </w:pPr>
      <w:r>
        <w:rPr>
          <w:rFonts w:hint="eastAsia" w:eastAsia="仿宋_GB2312"/>
          <w:kern w:val="0"/>
          <w:sz w:val="32"/>
          <w:szCs w:val="32"/>
        </w:rPr>
        <w:t>4.扎实开展工伤预防培训。坚持“预防为先，防治结合”原则，通过系统性的宣传、教育和培训，着力提升用人单位和劳动者的工伤预防意识及能力。2025年度，共实施工伤预防项目6项，发放工伤预防宣传短信10万余条，重点面向工伤风险较高的建筑企业、新业态从业、园区企业等人员，采取“专家授课+宣传路演”模式，围绕工伤保险政策法规、上下班途中工伤、安全生产操作规程、职业病防治知识、事故应急处理等内容开展了精准化培训。</w:t>
      </w:r>
    </w:p>
    <w:p w14:paraId="0349A45F">
      <w:pPr>
        <w:pStyle w:val="13"/>
        <w:spacing w:line="600" w:lineRule="exact"/>
        <w:ind w:firstLine="640" w:firstLineChars="200"/>
        <w:rPr>
          <w:rFonts w:ascii="Times New Roman" w:hAnsi="Times New Roman" w:eastAsia="仿宋_GB2312" w:cs="Times New Roman"/>
          <w:sz w:val="32"/>
          <w:szCs w:val="32"/>
        </w:rPr>
      </w:pPr>
    </w:p>
    <w:p w14:paraId="7EFEA698">
      <w:pPr>
        <w:pStyle w:val="13"/>
        <w:jc w:val="center"/>
        <w:rPr>
          <w:rFonts w:ascii="Times New Roman" w:hAnsi="Times New Roman" w:cs="Times New Roman"/>
          <w:sz w:val="72"/>
          <w:szCs w:val="72"/>
        </w:rPr>
      </w:pPr>
    </w:p>
    <w:p w14:paraId="0A3B3DA2">
      <w:pPr>
        <w:pStyle w:val="13"/>
        <w:jc w:val="center"/>
        <w:rPr>
          <w:rFonts w:ascii="Times New Roman" w:hAnsi="Times New Roman" w:cs="Times New Roman"/>
          <w:sz w:val="72"/>
          <w:szCs w:val="72"/>
        </w:rPr>
      </w:pPr>
    </w:p>
    <w:p w14:paraId="1ECCB251">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CA7E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50D8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CB28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526E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50F99">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2350F99">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9623AB"/>
    <w:multiLevelType w:val="singleLevel"/>
    <w:tmpl w:val="A99623AB"/>
    <w:lvl w:ilvl="0" w:tentative="0">
      <w:start w:val="3"/>
      <w:numFmt w:val="decimal"/>
      <w:suff w:val="nothing"/>
      <w:lvlText w:val="%1．"/>
      <w:lvlJc w:val="left"/>
    </w:lvl>
  </w:abstractNum>
  <w:abstractNum w:abstractNumId="1">
    <w:nsid w:val="DABE09E8"/>
    <w:multiLevelType w:val="singleLevel"/>
    <w:tmpl w:val="DABE09E8"/>
    <w:lvl w:ilvl="0" w:tentative="0">
      <w:start w:val="2"/>
      <w:numFmt w:val="chineseCounting"/>
      <w:suff w:val="nothing"/>
      <w:lvlText w:val="%1、"/>
      <w:lvlJc w:val="left"/>
      <w:rPr>
        <w:rFonts w:hint="eastAsia"/>
      </w:rPr>
    </w:lvl>
  </w:abstractNum>
  <w:abstractNum w:abstractNumId="2">
    <w:nsid w:val="2921470F"/>
    <w:multiLevelType w:val="singleLevel"/>
    <w:tmpl w:val="2921470F"/>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AE7E178"/>
    <w:rsid w:val="1BBE3931"/>
    <w:rsid w:val="1C0F7009"/>
    <w:rsid w:val="1D97DEFF"/>
    <w:rsid w:val="1DFF72E5"/>
    <w:rsid w:val="1EFC6F07"/>
    <w:rsid w:val="2F1A1CE2"/>
    <w:rsid w:val="2FDF85B8"/>
    <w:rsid w:val="2FFFEE04"/>
    <w:rsid w:val="34DF85B0"/>
    <w:rsid w:val="365E3710"/>
    <w:rsid w:val="3B8F36BC"/>
    <w:rsid w:val="491FF225"/>
    <w:rsid w:val="4FFD214C"/>
    <w:rsid w:val="5777D4F5"/>
    <w:rsid w:val="59DD8326"/>
    <w:rsid w:val="5DEF592A"/>
    <w:rsid w:val="5E87ADA4"/>
    <w:rsid w:val="5FC6BB1E"/>
    <w:rsid w:val="5FF720F1"/>
    <w:rsid w:val="67FF5C0B"/>
    <w:rsid w:val="6EFC0924"/>
    <w:rsid w:val="6FB74722"/>
    <w:rsid w:val="6FEF8B7E"/>
    <w:rsid w:val="71A6591B"/>
    <w:rsid w:val="737D59BA"/>
    <w:rsid w:val="77C37683"/>
    <w:rsid w:val="79D19834"/>
    <w:rsid w:val="79FF515B"/>
    <w:rsid w:val="7BF549BF"/>
    <w:rsid w:val="7E9E1962"/>
    <w:rsid w:val="7E9F11B4"/>
    <w:rsid w:val="7F2FA0C2"/>
    <w:rsid w:val="7F37EC1E"/>
    <w:rsid w:val="7F7DCD9D"/>
    <w:rsid w:val="7F970A6F"/>
    <w:rsid w:val="7FC1FFF3"/>
    <w:rsid w:val="7FC69637"/>
    <w:rsid w:val="7FDF8620"/>
    <w:rsid w:val="7FE8C8F7"/>
    <w:rsid w:val="7FFB242F"/>
    <w:rsid w:val="7FFDB408"/>
    <w:rsid w:val="7FFE4EEB"/>
    <w:rsid w:val="7FFEED51"/>
    <w:rsid w:val="95FB2B98"/>
    <w:rsid w:val="9A639BC2"/>
    <w:rsid w:val="9BFA491D"/>
    <w:rsid w:val="9FF7D786"/>
    <w:rsid w:val="ABBFB23D"/>
    <w:rsid w:val="AFDF05CB"/>
    <w:rsid w:val="B6AFFE39"/>
    <w:rsid w:val="C3B4DA5A"/>
    <w:rsid w:val="C7DDF8D3"/>
    <w:rsid w:val="CBFF70E0"/>
    <w:rsid w:val="CFF50B82"/>
    <w:rsid w:val="CFFFAD89"/>
    <w:rsid w:val="DFDFF2D6"/>
    <w:rsid w:val="DFFE359E"/>
    <w:rsid w:val="DFFE4FFD"/>
    <w:rsid w:val="E59B0483"/>
    <w:rsid w:val="E7B774F7"/>
    <w:rsid w:val="EEABED75"/>
    <w:rsid w:val="F56FDF51"/>
    <w:rsid w:val="F6B4BACD"/>
    <w:rsid w:val="F6B69F17"/>
    <w:rsid w:val="F77F1D61"/>
    <w:rsid w:val="F7FED3A9"/>
    <w:rsid w:val="F8C9DB26"/>
    <w:rsid w:val="F8FB2C46"/>
    <w:rsid w:val="F97E8EAE"/>
    <w:rsid w:val="FAFB18DC"/>
    <w:rsid w:val="FB36E1A6"/>
    <w:rsid w:val="FB3BE134"/>
    <w:rsid w:val="FCFF4275"/>
    <w:rsid w:val="FD7FEEEA"/>
    <w:rsid w:val="FDFEECB0"/>
    <w:rsid w:val="FDFFB577"/>
    <w:rsid w:val="FE1EEDFA"/>
    <w:rsid w:val="FEEA50FE"/>
    <w:rsid w:val="FF7D47A9"/>
    <w:rsid w:val="FF7F63BE"/>
    <w:rsid w:val="FFCF21CB"/>
    <w:rsid w:val="FFFF1C8B"/>
    <w:rsid w:val="FFFFB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rPr>
      <w:sz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1463</Words>
  <Characters>8342</Characters>
  <Lines>69</Lines>
  <Paragraphs>19</Paragraphs>
  <TotalTime>10</TotalTime>
  <ScaleCrop>false</ScaleCrop>
  <LinksUpToDate>false</LinksUpToDate>
  <CharactersWithSpaces>9786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2025-08-21T10:17:00Z</dcterms:created>
  <dc:creator>李航 null</dc:creator>
  <cp:lastModifiedBy>kylin</cp:lastModifiedBy>
  <cp:lastPrinted>2024-08-11T18:20:00Z</cp:lastPrinted>
  <dcterms:modified xsi:type="dcterms:W3CDTF">2026-09-10T16:33:09Z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0CF5EED7473B4E45A2F828319F8A0BCC</vt:lpwstr>
  </property>
</Properties>
</file>