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DE1BF9">
      <w:pPr>
        <w:spacing w:line="217" w:lineRule="auto"/>
        <w:rPr>
          <w:rFonts w:hint="eastAsia" w:eastAsia="宋体"/>
          <w:sz w:val="22"/>
          <w:szCs w:val="22"/>
          <w:lang w:eastAsia="zh-CN"/>
        </w:rPr>
      </w:pPr>
    </w:p>
    <w:p w14:paraId="35F13FA8">
      <w:pPr>
        <w:spacing w:line="272" w:lineRule="auto"/>
        <w:rPr>
          <w:rFonts w:ascii="Arial"/>
          <w:sz w:val="21"/>
        </w:rPr>
      </w:pPr>
    </w:p>
    <w:p w14:paraId="4B01E7B7">
      <w:pPr>
        <w:spacing w:line="272" w:lineRule="auto"/>
        <w:rPr>
          <w:rFonts w:ascii="Arial"/>
          <w:sz w:val="21"/>
        </w:rPr>
      </w:pPr>
    </w:p>
    <w:p w14:paraId="028DAB65">
      <w:pPr>
        <w:spacing w:line="272" w:lineRule="auto"/>
        <w:rPr>
          <w:rFonts w:ascii="Arial"/>
          <w:sz w:val="21"/>
        </w:rPr>
      </w:pPr>
    </w:p>
    <w:p w14:paraId="50CCD13E">
      <w:pPr>
        <w:spacing w:line="272" w:lineRule="auto"/>
        <w:rPr>
          <w:rFonts w:ascii="Arial"/>
          <w:sz w:val="21"/>
        </w:rPr>
      </w:pPr>
    </w:p>
    <w:p w14:paraId="5A424858">
      <w:pPr>
        <w:spacing w:line="272" w:lineRule="auto"/>
        <w:rPr>
          <w:rFonts w:ascii="Arial"/>
          <w:sz w:val="21"/>
        </w:rPr>
      </w:pPr>
    </w:p>
    <w:p w14:paraId="5A292CF6">
      <w:pPr>
        <w:spacing w:line="272" w:lineRule="auto"/>
        <w:rPr>
          <w:rFonts w:ascii="Arial"/>
          <w:sz w:val="21"/>
        </w:rPr>
      </w:pPr>
    </w:p>
    <w:p w14:paraId="536F3D3E">
      <w:pPr>
        <w:spacing w:line="272" w:lineRule="auto"/>
        <w:rPr>
          <w:rFonts w:ascii="Arial"/>
          <w:sz w:val="21"/>
        </w:rPr>
      </w:pPr>
    </w:p>
    <w:p w14:paraId="786C8E15">
      <w:pPr>
        <w:spacing w:before="169" w:line="323" w:lineRule="auto"/>
        <w:ind w:left="2877" w:hanging="2660"/>
        <w:rPr>
          <w:rFonts w:ascii="宋体" w:hAnsi="宋体" w:eastAsia="宋体" w:cs="宋体"/>
          <w:sz w:val="52"/>
          <w:szCs w:val="52"/>
        </w:rPr>
      </w:pPr>
      <w:r>
        <w:rPr>
          <w:rFonts w:ascii="宋体" w:hAnsi="宋体" w:eastAsia="宋体" w:cs="宋体"/>
          <w:b/>
          <w:bCs/>
          <w:spacing w:val="27"/>
          <w:sz w:val="52"/>
          <w:szCs w:val="52"/>
        </w:rPr>
        <w:t>202</w:t>
      </w:r>
      <w:r>
        <w:rPr>
          <w:rFonts w:hint="eastAsia" w:ascii="宋体" w:hAnsi="宋体" w:eastAsia="宋体" w:cs="宋体"/>
          <w:b/>
          <w:bCs/>
          <w:spacing w:val="27"/>
          <w:sz w:val="52"/>
          <w:szCs w:val="52"/>
          <w:lang w:val="en-US" w:eastAsia="zh-CN"/>
        </w:rPr>
        <w:t>5</w:t>
      </w:r>
      <w:r>
        <w:rPr>
          <w:rFonts w:ascii="宋体" w:hAnsi="宋体" w:eastAsia="宋体" w:cs="宋体"/>
          <w:b/>
          <w:bCs/>
          <w:spacing w:val="27"/>
          <w:sz w:val="52"/>
          <w:szCs w:val="52"/>
        </w:rPr>
        <w:t>年度</w:t>
      </w:r>
      <w:r>
        <w:rPr>
          <w:rFonts w:hint="eastAsia" w:ascii="宋体" w:hAnsi="宋体" w:eastAsia="宋体" w:cs="宋体"/>
          <w:b/>
          <w:bCs/>
          <w:spacing w:val="27"/>
          <w:sz w:val="52"/>
          <w:szCs w:val="52"/>
          <w:lang w:eastAsia="zh-CN"/>
        </w:rPr>
        <w:t>新圩镇人民政府</w:t>
      </w:r>
      <w:r>
        <w:rPr>
          <w:rFonts w:ascii="宋体" w:hAnsi="宋体" w:eastAsia="宋体" w:cs="宋体"/>
          <w:b/>
          <w:bCs/>
          <w:spacing w:val="27"/>
          <w:sz w:val="52"/>
          <w:szCs w:val="52"/>
        </w:rPr>
        <w:t>整体支出</w:t>
      </w:r>
      <w:r>
        <w:rPr>
          <w:rFonts w:ascii="宋体" w:hAnsi="宋体" w:eastAsia="宋体" w:cs="宋体"/>
          <w:spacing w:val="12"/>
          <w:sz w:val="52"/>
          <w:szCs w:val="52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52"/>
          <w:szCs w:val="52"/>
        </w:rPr>
        <w:t>绩效自评报告</w:t>
      </w:r>
    </w:p>
    <w:p w14:paraId="2E3CCA41">
      <w:pPr>
        <w:spacing w:line="373" w:lineRule="auto"/>
        <w:rPr>
          <w:rFonts w:ascii="Arial"/>
          <w:sz w:val="21"/>
        </w:rPr>
      </w:pPr>
    </w:p>
    <w:p w14:paraId="58C8DC0A">
      <w:pPr>
        <w:spacing w:line="2420" w:lineRule="exact"/>
        <w:ind w:firstLine="1110"/>
      </w:pPr>
    </w:p>
    <w:p w14:paraId="1F02F53F">
      <w:pPr>
        <w:spacing w:line="267" w:lineRule="auto"/>
        <w:rPr>
          <w:rFonts w:ascii="Arial"/>
          <w:sz w:val="21"/>
        </w:rPr>
      </w:pPr>
    </w:p>
    <w:p w14:paraId="50B24238">
      <w:pPr>
        <w:spacing w:line="267" w:lineRule="auto"/>
        <w:rPr>
          <w:rFonts w:ascii="Arial"/>
          <w:sz w:val="21"/>
        </w:rPr>
      </w:pPr>
    </w:p>
    <w:p w14:paraId="0678C5F7">
      <w:pPr>
        <w:spacing w:line="267" w:lineRule="auto"/>
        <w:rPr>
          <w:rFonts w:ascii="Arial"/>
          <w:sz w:val="21"/>
        </w:rPr>
      </w:pPr>
    </w:p>
    <w:p w14:paraId="17AECBBF">
      <w:pPr>
        <w:spacing w:line="268" w:lineRule="auto"/>
        <w:rPr>
          <w:rFonts w:ascii="Arial"/>
          <w:sz w:val="21"/>
        </w:rPr>
      </w:pPr>
    </w:p>
    <w:p w14:paraId="3EB65B60">
      <w:pPr>
        <w:spacing w:line="268" w:lineRule="auto"/>
        <w:rPr>
          <w:rFonts w:ascii="Arial"/>
          <w:sz w:val="21"/>
        </w:rPr>
      </w:pPr>
    </w:p>
    <w:p w14:paraId="3047FFE2">
      <w:pPr>
        <w:spacing w:line="268" w:lineRule="auto"/>
        <w:rPr>
          <w:rFonts w:ascii="Arial"/>
          <w:sz w:val="21"/>
        </w:rPr>
      </w:pPr>
    </w:p>
    <w:p w14:paraId="70F34766">
      <w:pPr>
        <w:spacing w:line="268" w:lineRule="auto"/>
        <w:rPr>
          <w:rFonts w:ascii="Arial"/>
          <w:sz w:val="21"/>
        </w:rPr>
      </w:pPr>
    </w:p>
    <w:p w14:paraId="1F5F76DC">
      <w:pPr>
        <w:spacing w:line="268" w:lineRule="auto"/>
        <w:rPr>
          <w:rFonts w:ascii="Arial"/>
          <w:sz w:val="21"/>
        </w:rPr>
      </w:pPr>
    </w:p>
    <w:p w14:paraId="2D482630">
      <w:pPr>
        <w:spacing w:before="94" w:line="225" w:lineRule="auto"/>
        <w:ind w:left="3090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-12"/>
          <w:sz w:val="29"/>
          <w:szCs w:val="29"/>
        </w:rPr>
        <w:t>单位名称：</w:t>
      </w:r>
      <w:r>
        <w:rPr>
          <w:rFonts w:ascii="楷体" w:hAnsi="楷体" w:eastAsia="楷体" w:cs="楷体"/>
          <w:spacing w:val="-75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12"/>
          <w:sz w:val="29"/>
          <w:szCs w:val="29"/>
          <w:u w:val="single" w:color="auto"/>
        </w:rPr>
        <w:t>(</w:t>
      </w:r>
      <w:r>
        <w:rPr>
          <w:rFonts w:ascii="楷体" w:hAnsi="楷体" w:eastAsia="楷体" w:cs="楷体"/>
          <w:spacing w:val="-45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12"/>
          <w:sz w:val="29"/>
          <w:szCs w:val="29"/>
          <w:u w:val="single" w:color="auto"/>
        </w:rPr>
        <w:t>盖</w:t>
      </w:r>
      <w:r>
        <w:rPr>
          <w:rFonts w:ascii="楷体" w:hAnsi="楷体" w:eastAsia="楷体" w:cs="楷体"/>
          <w:spacing w:val="-41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12"/>
          <w:sz w:val="29"/>
          <w:szCs w:val="29"/>
          <w:u w:val="single" w:color="auto"/>
        </w:rPr>
        <w:t>章</w:t>
      </w:r>
      <w:r>
        <w:rPr>
          <w:rFonts w:ascii="楷体" w:hAnsi="楷体" w:eastAsia="楷体" w:cs="楷体"/>
          <w:spacing w:val="-47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12"/>
          <w:sz w:val="29"/>
          <w:szCs w:val="29"/>
          <w:u w:val="single" w:color="auto"/>
        </w:rPr>
        <w:t>)</w:t>
      </w:r>
    </w:p>
    <w:p w14:paraId="758E5212">
      <w:pPr>
        <w:spacing w:before="247" w:line="225" w:lineRule="auto"/>
        <w:ind w:left="3200" w:firstLine="264" w:firstLineChars="100"/>
        <w:rPr>
          <w:rFonts w:ascii="楷体" w:hAnsi="楷体" w:eastAsia="楷体" w:cs="楷体"/>
          <w:sz w:val="29"/>
          <w:szCs w:val="29"/>
        </w:rPr>
      </w:pPr>
      <w:r>
        <w:rPr>
          <w:rFonts w:hint="eastAsia" w:ascii="楷体" w:hAnsi="楷体" w:eastAsia="楷体" w:cs="楷体"/>
          <w:spacing w:val="-13"/>
          <w:sz w:val="29"/>
          <w:szCs w:val="29"/>
          <w:lang w:val="en-US" w:eastAsia="zh-CN"/>
        </w:rPr>
        <w:t>2026</w:t>
      </w:r>
      <w:r>
        <w:rPr>
          <w:rFonts w:ascii="楷体" w:hAnsi="楷体" w:eastAsia="楷体" w:cs="楷体"/>
          <w:spacing w:val="-13"/>
          <w:sz w:val="29"/>
          <w:szCs w:val="29"/>
        </w:rPr>
        <w:t>年</w:t>
      </w:r>
      <w:r>
        <w:rPr>
          <w:rFonts w:hint="eastAsia" w:ascii="楷体" w:hAnsi="楷体" w:eastAsia="楷体" w:cs="楷体"/>
          <w:spacing w:val="31"/>
          <w:sz w:val="29"/>
          <w:szCs w:val="29"/>
          <w:lang w:val="en-US" w:eastAsia="zh-CN"/>
        </w:rPr>
        <w:t>4</w:t>
      </w:r>
      <w:r>
        <w:rPr>
          <w:rFonts w:ascii="楷体" w:hAnsi="楷体" w:eastAsia="楷体" w:cs="楷体"/>
          <w:spacing w:val="-13"/>
          <w:sz w:val="29"/>
          <w:szCs w:val="29"/>
        </w:rPr>
        <w:t>月</w:t>
      </w:r>
      <w:r>
        <w:rPr>
          <w:rFonts w:hint="eastAsia" w:ascii="楷体" w:hAnsi="楷体" w:eastAsia="楷体" w:cs="楷体"/>
          <w:spacing w:val="48"/>
          <w:sz w:val="29"/>
          <w:szCs w:val="29"/>
          <w:lang w:val="en-US" w:eastAsia="zh-CN"/>
        </w:rPr>
        <w:t>20</w:t>
      </w:r>
      <w:r>
        <w:rPr>
          <w:rFonts w:ascii="楷体" w:hAnsi="楷体" w:eastAsia="楷体" w:cs="楷体"/>
          <w:spacing w:val="-13"/>
          <w:sz w:val="29"/>
          <w:szCs w:val="29"/>
        </w:rPr>
        <w:t>日</w:t>
      </w:r>
    </w:p>
    <w:p w14:paraId="34BC4A7F">
      <w:pPr>
        <w:rPr>
          <w:rFonts w:ascii="Arial"/>
          <w:sz w:val="21"/>
        </w:rPr>
      </w:pPr>
    </w:p>
    <w:p w14:paraId="6CDA0B35">
      <w:pPr>
        <w:rPr>
          <w:rFonts w:ascii="Arial"/>
          <w:sz w:val="21"/>
        </w:rPr>
      </w:pPr>
    </w:p>
    <w:p w14:paraId="1CF300FD">
      <w:pPr>
        <w:rPr>
          <w:rFonts w:ascii="Arial"/>
          <w:sz w:val="21"/>
        </w:rPr>
      </w:pPr>
    </w:p>
    <w:p w14:paraId="0EA96EC3">
      <w:pPr>
        <w:pStyle w:val="2"/>
        <w:spacing w:before="94" w:line="224" w:lineRule="auto"/>
        <w:ind w:left="3449"/>
        <w:rPr>
          <w:sz w:val="29"/>
          <w:szCs w:val="29"/>
        </w:rPr>
      </w:pPr>
      <w:r>
        <w:rPr>
          <w:spacing w:val="34"/>
          <w:sz w:val="29"/>
          <w:szCs w:val="29"/>
        </w:rPr>
        <w:t>(此页为封面)</w:t>
      </w:r>
    </w:p>
    <w:p w14:paraId="18A357BB">
      <w:pPr>
        <w:spacing w:line="224" w:lineRule="auto"/>
        <w:rPr>
          <w:sz w:val="29"/>
          <w:szCs w:val="29"/>
        </w:rPr>
        <w:sectPr>
          <w:footerReference r:id="rId5" w:type="default"/>
          <w:pgSz w:w="11790" w:h="16690"/>
          <w:pgMar w:top="1418" w:right="1764" w:bottom="1049" w:left="1409" w:header="0" w:footer="672" w:gutter="0"/>
          <w:cols w:space="720" w:num="1"/>
        </w:sectPr>
      </w:pPr>
    </w:p>
    <w:p w14:paraId="320AC132">
      <w:pPr>
        <w:shd w:val="clear" w:color="auto" w:fill="FFFFFF"/>
        <w:spacing w:line="560" w:lineRule="exact"/>
        <w:jc w:val="center"/>
        <w:rPr>
          <w:rFonts w:hint="eastAsia" w:ascii="黑体" w:hAnsi="黑体" w:eastAsia="黑体" w:cs="黑体"/>
          <w:b/>
          <w:bCs/>
          <w:color w:val="3F3F3F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3F3F3F"/>
          <w:sz w:val="32"/>
          <w:szCs w:val="32"/>
          <w:lang w:val="en-US" w:eastAsia="zh-CN"/>
        </w:rPr>
        <w:t>蓝山县新圩镇人民政府2025</w:t>
      </w:r>
      <w:r>
        <w:rPr>
          <w:rFonts w:hint="eastAsia" w:ascii="黑体" w:hAnsi="黑体" w:eastAsia="黑体" w:cs="黑体"/>
          <w:b/>
          <w:bCs/>
          <w:color w:val="3F3F3F"/>
          <w:sz w:val="32"/>
          <w:szCs w:val="32"/>
        </w:rPr>
        <w:t>年度部门整体支出</w:t>
      </w:r>
    </w:p>
    <w:p w14:paraId="01339714">
      <w:pPr>
        <w:shd w:val="clear" w:color="auto" w:fill="FFFFFF"/>
        <w:spacing w:line="560" w:lineRule="exact"/>
        <w:jc w:val="center"/>
        <w:rPr>
          <w:rFonts w:hint="eastAsia" w:ascii="黑体" w:hAnsi="黑体" w:eastAsia="黑体" w:cs="黑体"/>
          <w:b/>
          <w:bCs/>
          <w:color w:val="3F3F3F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3F3F3F"/>
          <w:sz w:val="32"/>
          <w:szCs w:val="32"/>
        </w:rPr>
        <w:t>绩效评价情况报告</w:t>
      </w:r>
    </w:p>
    <w:p w14:paraId="09FDBC1D">
      <w:pPr>
        <w:shd w:val="clear" w:color="auto" w:fill="FFFFFF"/>
        <w:spacing w:line="560" w:lineRule="exact"/>
        <w:jc w:val="center"/>
        <w:rPr>
          <w:rFonts w:hint="eastAsia" w:ascii="仿宋_GB2312" w:hAnsi="仿宋_GB2312" w:eastAsia="仿宋_GB2312" w:cs="仿宋_GB2312"/>
          <w:b/>
          <w:bCs/>
          <w:color w:val="3F3F3F"/>
          <w:sz w:val="32"/>
          <w:szCs w:val="32"/>
        </w:rPr>
      </w:pPr>
    </w:p>
    <w:p w14:paraId="27881B0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ascii="Arial"/>
          <w:sz w:val="21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为进一步规范财政资金管理，牢固树立预算绩效理念，强化支出责任，提高财政资金使用效益，我们根据《蓝山县财政局关于开展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年度财政支出绩效自评工作的通知》，结合我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单位新圩镇人民政府</w:t>
      </w:r>
      <w:r>
        <w:rPr>
          <w:rFonts w:hint="eastAsia" w:ascii="仿宋_GB2312" w:hAnsi="仿宋_GB2312" w:eastAsia="仿宋_GB2312" w:cs="仿宋_GB2312"/>
          <w:sz w:val="32"/>
          <w:szCs w:val="32"/>
        </w:rPr>
        <w:t>的具体情况，认真组织开展了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年度部门绩效自评工作，现将我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部门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年度部门整体支出绩效评价情况报告如下：</w:t>
      </w:r>
    </w:p>
    <w:p w14:paraId="6520D891">
      <w:pPr>
        <w:spacing w:before="123" w:line="221" w:lineRule="auto"/>
        <w:ind w:left="634"/>
        <w:outlineLvl w:val="2"/>
        <w:rPr>
          <w:rFonts w:hint="eastAsia" w:ascii="楷体" w:hAnsi="楷体" w:eastAsia="楷体" w:cs="楷体"/>
          <w:b/>
          <w:bCs/>
          <w:snapToGrid w:val="0"/>
          <w:color w:val="000000"/>
          <w:spacing w:val="2"/>
          <w:kern w:val="0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/>
          <w:bCs/>
          <w:snapToGrid w:val="0"/>
          <w:color w:val="000000"/>
          <w:spacing w:val="2"/>
          <w:kern w:val="0"/>
          <w:sz w:val="32"/>
          <w:szCs w:val="32"/>
          <w:lang w:val="en-US" w:eastAsia="zh-CN" w:bidi="ar-SA"/>
        </w:rPr>
        <w:t>一、部门(单位)基本情况</w:t>
      </w:r>
    </w:p>
    <w:p w14:paraId="4FEF81F1">
      <w:pPr>
        <w:pStyle w:val="2"/>
        <w:spacing w:before="86" w:line="221" w:lineRule="auto"/>
        <w:ind w:left="760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/>
          <w:spacing w:val="25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  <w:t>部门(单位)职能职责</w:t>
      </w:r>
    </w:p>
    <w:p w14:paraId="0EB0104A">
      <w:pPr>
        <w:pStyle w:val="9"/>
        <w:widowControl w:val="0"/>
        <w:numPr>
          <w:ilvl w:val="0"/>
          <w:numId w:val="0"/>
        </w:numPr>
        <w:shd w:val="clear" w:color="auto" w:fill="FFFFFF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  <w:t>落实国家政策，严格依法行政，发挥经济管理职能，加强政策引导，制定发展规划，服务市场主体和营造发展环境，搞好市场监管，大力促进社会事业发展，发展乡村经济、文化和社会事业，提供公共服务，维护社会稳定，构建社会主义和谐社会。执行本级人民代表大会的决议和上级国家行政机关的决定和命令;执行本行政区域内的经济和社会发展计划、预算，管理本行政区域内的经济、教育、科学、文化、卫生、体育事业和财政、民政、公安、司法行政等行政工作;保护社会主义的全民所有的财产和劳动群众集体所有的财产，保护公民私人所有的合法财产，维护社会秩序，保障公民的人身权利、民主权利和其他权利;保护各种经济组织的合法权益;办理上级县委、县政府政府交办的其他事项。</w:t>
      </w:r>
    </w:p>
    <w:p w14:paraId="1D6181DB">
      <w:pPr>
        <w:pStyle w:val="2"/>
        <w:numPr>
          <w:ilvl w:val="0"/>
          <w:numId w:val="1"/>
        </w:numPr>
        <w:spacing w:before="86" w:line="221" w:lineRule="auto"/>
        <w:ind w:left="760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单位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  <w:t>机构编制</w:t>
      </w:r>
    </w:p>
    <w:p w14:paraId="1CEEE38B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6"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  <w:t>机关设党委、政府、人大、政协、纪委、人武部、办公室等机构，下设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自然资源和村镇建设事务中心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  <w:t>、农业综合服务中心、政务便民服务中心、综合行政执法大队、退役军人服务站及财政所。</w:t>
      </w:r>
    </w:p>
    <w:p w14:paraId="75AFD52D">
      <w:pPr>
        <w:pStyle w:val="2"/>
        <w:numPr>
          <w:ilvl w:val="0"/>
          <w:numId w:val="1"/>
        </w:numPr>
        <w:spacing w:before="86" w:line="221" w:lineRule="auto"/>
        <w:ind w:left="760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  <w:t>人员构成</w:t>
      </w:r>
    </w:p>
    <w:p w14:paraId="614CE316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6"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  <w:t>全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镇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  <w:t>实有在编人数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74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  <w:t>人，其中行政机关人员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25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  <w:t>人，事业职工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49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  <w:t>人；退休人员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11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  <w:t>人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。</w:t>
      </w:r>
    </w:p>
    <w:p w14:paraId="16A49C4C"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9" w:line="560" w:lineRule="exact"/>
        <w:ind w:right="130" w:firstLine="760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  <w:t>部门(单位)整体支出规模，包括但不限于部门整体支出情况、部门预算收支决算情况及“三公经费”支出使用和管理情况 。</w:t>
      </w:r>
    </w:p>
    <w:p w14:paraId="6FB6392B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9" w:line="560" w:lineRule="exact"/>
        <w:ind w:right="130" w:rightChars="0" w:firstLine="640" w:firstLineChars="200"/>
        <w:textAlignment w:val="baseline"/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2025年全镇预算支出1444.24，实际决算总收入1962.96万元，总支出1962.96万元。2024年报废一台公务用车，2025年采购一台公务用车，费用8.08万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元，公务车运行维护费9.32万元，办公经费184.28万元，水费、电费及差旅费19.14万元，会议、培训费14.34万元，政府采购金额62.08万元。整体来看我镇2025年强化了节约措施，降低行政运行成本，明确细化各项节约措施带来实际成效。</w:t>
      </w:r>
    </w:p>
    <w:p w14:paraId="6509B593">
      <w:pPr>
        <w:spacing w:before="123" w:line="221" w:lineRule="auto"/>
        <w:ind w:left="634"/>
        <w:outlineLvl w:val="2"/>
        <w:rPr>
          <w:rFonts w:hint="eastAsia" w:ascii="楷体" w:hAnsi="楷体" w:eastAsia="楷体" w:cs="楷体"/>
          <w:b/>
          <w:bCs/>
          <w:snapToGrid w:val="0"/>
          <w:color w:val="000000"/>
          <w:spacing w:val="2"/>
          <w:kern w:val="0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/>
          <w:bCs/>
          <w:snapToGrid w:val="0"/>
          <w:color w:val="000000"/>
          <w:spacing w:val="2"/>
          <w:kern w:val="0"/>
          <w:sz w:val="32"/>
          <w:szCs w:val="32"/>
          <w:lang w:val="en-US" w:eastAsia="zh-CN" w:bidi="ar-SA"/>
        </w:rPr>
        <w:t>二、一般公共预算支出情况</w:t>
      </w:r>
    </w:p>
    <w:p w14:paraId="64701B61">
      <w:pPr>
        <w:pStyle w:val="2"/>
        <w:spacing w:before="84" w:line="222" w:lineRule="auto"/>
        <w:ind w:left="760"/>
        <w:rPr>
          <w:spacing w:val="18"/>
        </w:rPr>
      </w:pPr>
      <w:r>
        <w:rPr>
          <w:spacing w:val="18"/>
        </w:rPr>
        <w:t>(</w:t>
      </w:r>
      <w:r>
        <w:rPr>
          <w:spacing w:val="-86"/>
        </w:rPr>
        <w:t xml:space="preserve"> </w:t>
      </w:r>
      <w:r>
        <w:rPr>
          <w:spacing w:val="18"/>
        </w:rPr>
        <w:t>一)基本支出情况</w:t>
      </w:r>
    </w:p>
    <w:p w14:paraId="42041AFA">
      <w:pPr>
        <w:snapToGrid w:val="0"/>
        <w:spacing w:line="520" w:lineRule="exact"/>
        <w:ind w:firstLine="640" w:firstLineChars="200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本镇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202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/>
          <w:sz w:val="32"/>
          <w:szCs w:val="32"/>
        </w:rPr>
        <w:t>年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一般公共</w:t>
      </w:r>
      <w:r>
        <w:rPr>
          <w:rFonts w:hint="eastAsia" w:ascii="仿宋_GB2312" w:hAnsi="仿宋" w:eastAsia="仿宋_GB2312"/>
          <w:sz w:val="32"/>
          <w:szCs w:val="32"/>
        </w:rPr>
        <w:t>预算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支出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1524.98万</w:t>
      </w:r>
      <w:r>
        <w:rPr>
          <w:rFonts w:hint="eastAsia" w:ascii="仿宋_GB2312" w:hAnsi="仿宋" w:eastAsia="仿宋_GB2312"/>
          <w:sz w:val="32"/>
          <w:szCs w:val="32"/>
        </w:rPr>
        <w:t>元，其中基本支出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1457.26万</w:t>
      </w:r>
      <w:r>
        <w:rPr>
          <w:rFonts w:hint="eastAsia" w:ascii="仿宋_GB2312" w:hAnsi="仿宋" w:eastAsia="仿宋_GB2312"/>
          <w:sz w:val="32"/>
          <w:szCs w:val="32"/>
        </w:rPr>
        <w:t>元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，如下图所示：</w:t>
      </w:r>
    </w:p>
    <w:p w14:paraId="4B761EEB">
      <w:pPr>
        <w:snapToGrid w:val="0"/>
        <w:spacing w:line="520" w:lineRule="exact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单位：万元</w:t>
      </w:r>
    </w:p>
    <w:tbl>
      <w:tblPr>
        <w:tblStyle w:val="4"/>
        <w:tblW w:w="848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69"/>
        <w:gridCol w:w="3011"/>
      </w:tblGrid>
      <w:tr w14:paraId="492348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7" w:hRule="atLeast"/>
        </w:trPr>
        <w:tc>
          <w:tcPr>
            <w:tcW w:w="5469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ED3A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一、工资福利支出</w:t>
            </w:r>
          </w:p>
        </w:tc>
        <w:tc>
          <w:tcPr>
            <w:tcW w:w="301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39C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1013.91</w:t>
            </w:r>
          </w:p>
        </w:tc>
      </w:tr>
      <w:tr w14:paraId="6C5E8C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2" w:hRule="atLeast"/>
        </w:trPr>
        <w:tc>
          <w:tcPr>
            <w:tcW w:w="5469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816A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二、商品和服务支出</w:t>
            </w:r>
          </w:p>
        </w:tc>
        <w:tc>
          <w:tcPr>
            <w:tcW w:w="301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1CA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105.25</w:t>
            </w:r>
          </w:p>
        </w:tc>
      </w:tr>
      <w:tr w14:paraId="46630C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5" w:hRule="atLeast"/>
        </w:trPr>
        <w:tc>
          <w:tcPr>
            <w:tcW w:w="5469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B9D8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三、对个人和家庭的补助</w:t>
            </w:r>
          </w:p>
        </w:tc>
        <w:tc>
          <w:tcPr>
            <w:tcW w:w="301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530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89.09</w:t>
            </w:r>
          </w:p>
        </w:tc>
      </w:tr>
      <w:tr w14:paraId="26E8ED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5" w:hRule="atLeast"/>
        </w:trPr>
        <w:tc>
          <w:tcPr>
            <w:tcW w:w="5469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CB3C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四、资本性支出</w:t>
            </w:r>
          </w:p>
        </w:tc>
        <w:tc>
          <w:tcPr>
            <w:tcW w:w="301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4E1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8.08</w:t>
            </w:r>
          </w:p>
        </w:tc>
      </w:tr>
    </w:tbl>
    <w:p w14:paraId="58FE2444">
      <w:pPr>
        <w:snapToGrid w:val="0"/>
        <w:spacing w:line="520" w:lineRule="exact"/>
        <w:rPr>
          <w:rFonts w:hint="default" w:ascii="仿宋_GB2312" w:hAnsi="仿宋" w:eastAsia="仿宋_GB2312"/>
          <w:sz w:val="32"/>
          <w:szCs w:val="32"/>
          <w:lang w:val="en-US" w:eastAsia="zh-CN"/>
        </w:rPr>
      </w:pPr>
    </w:p>
    <w:p w14:paraId="4459E0F3">
      <w:pPr>
        <w:pStyle w:val="2"/>
        <w:spacing w:before="84" w:line="222" w:lineRule="auto"/>
        <w:ind w:left="760"/>
        <w:rPr>
          <w:rFonts w:hint="eastAsia" w:eastAsia="仿宋"/>
          <w:spacing w:val="18"/>
          <w:lang w:eastAsia="zh-CN"/>
        </w:rPr>
      </w:pPr>
    </w:p>
    <w:p w14:paraId="413C59C3">
      <w:pPr>
        <w:snapToGrid w:val="0"/>
        <w:spacing w:line="520" w:lineRule="exact"/>
        <w:ind w:firstLine="640" w:firstLineChars="200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( 二)项目支出情况：</w:t>
      </w:r>
      <w:r>
        <w:rPr>
          <w:rFonts w:hint="eastAsia" w:ascii="仿宋_GB2312" w:hAnsi="仿宋" w:eastAsia="仿宋_GB2312"/>
          <w:sz w:val="32"/>
          <w:szCs w:val="32"/>
        </w:rPr>
        <w:t>项目支出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67.72</w:t>
      </w:r>
      <w:r>
        <w:rPr>
          <w:rFonts w:hint="eastAsia" w:ascii="仿宋_GB2312" w:hAnsi="仿宋" w:eastAsia="仿宋_GB2312"/>
          <w:sz w:val="32"/>
          <w:szCs w:val="32"/>
        </w:rPr>
        <w:t>元，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如下图所示：</w:t>
      </w:r>
    </w:p>
    <w:p w14:paraId="4BC77BA9">
      <w:pPr>
        <w:pStyle w:val="2"/>
        <w:numPr>
          <w:ilvl w:val="0"/>
          <w:numId w:val="0"/>
        </w:numPr>
        <w:spacing w:before="87" w:line="222" w:lineRule="auto"/>
        <w:ind w:left="760" w:leftChars="0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单位：万元</w:t>
      </w:r>
    </w:p>
    <w:tbl>
      <w:tblPr>
        <w:tblStyle w:val="4"/>
        <w:tblW w:w="848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69"/>
        <w:gridCol w:w="3011"/>
      </w:tblGrid>
      <w:tr w14:paraId="7B601D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7" w:hRule="atLeast"/>
        </w:trPr>
        <w:tc>
          <w:tcPr>
            <w:tcW w:w="5469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9B52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一、商品和服务支出</w:t>
            </w:r>
          </w:p>
        </w:tc>
        <w:tc>
          <w:tcPr>
            <w:tcW w:w="301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AC0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11.80</w:t>
            </w:r>
          </w:p>
        </w:tc>
      </w:tr>
      <w:tr w14:paraId="144270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2" w:hRule="atLeast"/>
        </w:trPr>
        <w:tc>
          <w:tcPr>
            <w:tcW w:w="5469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1634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二、资本性支出</w:t>
            </w:r>
          </w:p>
        </w:tc>
        <w:tc>
          <w:tcPr>
            <w:tcW w:w="301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50B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55.92</w:t>
            </w:r>
          </w:p>
        </w:tc>
      </w:tr>
    </w:tbl>
    <w:p w14:paraId="441AFE2C">
      <w:pPr>
        <w:pStyle w:val="2"/>
        <w:numPr>
          <w:ilvl w:val="0"/>
          <w:numId w:val="0"/>
        </w:numPr>
        <w:spacing w:before="87" w:line="222" w:lineRule="auto"/>
        <w:rPr>
          <w:spacing w:val="25"/>
        </w:rPr>
      </w:pPr>
    </w:p>
    <w:p w14:paraId="084B48D7">
      <w:pPr>
        <w:pStyle w:val="2"/>
        <w:spacing w:before="79" w:line="249" w:lineRule="auto"/>
        <w:ind w:right="124" w:firstLine="634"/>
        <w:rPr>
          <w:rFonts w:hint="eastAsia" w:ascii="楷体" w:hAnsi="楷体" w:eastAsia="楷体" w:cs="楷体"/>
          <w:b/>
          <w:bCs/>
          <w:snapToGrid w:val="0"/>
          <w:color w:val="000000"/>
          <w:spacing w:val="2"/>
          <w:kern w:val="0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/>
          <w:bCs/>
          <w:snapToGrid w:val="0"/>
          <w:color w:val="000000"/>
          <w:spacing w:val="2"/>
          <w:kern w:val="0"/>
          <w:sz w:val="32"/>
          <w:szCs w:val="32"/>
          <w:lang w:val="en-US" w:eastAsia="zh-CN" w:bidi="ar-SA"/>
        </w:rPr>
        <w:t xml:space="preserve">三、政府性基金预算支出情况。 </w:t>
      </w:r>
    </w:p>
    <w:p w14:paraId="7ACA1938">
      <w:pPr>
        <w:snapToGrid w:val="0"/>
        <w:spacing w:line="520" w:lineRule="exact"/>
        <w:ind w:firstLine="640" w:firstLineChars="200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本镇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202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/>
          <w:sz w:val="32"/>
          <w:szCs w:val="32"/>
        </w:rPr>
        <w:t>年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政府性基金预算支出158.22万</w:t>
      </w:r>
      <w:r>
        <w:rPr>
          <w:rFonts w:hint="eastAsia" w:ascii="仿宋_GB2312" w:hAnsi="仿宋" w:eastAsia="仿宋_GB2312"/>
          <w:sz w:val="32"/>
          <w:szCs w:val="32"/>
        </w:rPr>
        <w:t>元，其中基本支出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21.18万</w:t>
      </w:r>
      <w:r>
        <w:rPr>
          <w:rFonts w:hint="eastAsia" w:ascii="仿宋_GB2312" w:hAnsi="仿宋" w:eastAsia="仿宋_GB2312"/>
          <w:sz w:val="32"/>
          <w:szCs w:val="32"/>
        </w:rPr>
        <w:t>元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，如下图所示：</w:t>
      </w:r>
    </w:p>
    <w:p w14:paraId="51D0603E">
      <w:pPr>
        <w:pStyle w:val="2"/>
        <w:numPr>
          <w:ilvl w:val="0"/>
          <w:numId w:val="0"/>
        </w:numPr>
        <w:spacing w:before="83" w:line="247" w:lineRule="auto"/>
        <w:ind w:right="126" w:rightChars="0" w:firstLine="640" w:firstLineChars="200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单位：万元</w:t>
      </w:r>
    </w:p>
    <w:tbl>
      <w:tblPr>
        <w:tblStyle w:val="4"/>
        <w:tblW w:w="848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69"/>
        <w:gridCol w:w="3011"/>
      </w:tblGrid>
      <w:tr w14:paraId="654E55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7" w:hRule="atLeast"/>
        </w:trPr>
        <w:tc>
          <w:tcPr>
            <w:tcW w:w="5469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9C2D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一、商品和服务支出</w:t>
            </w:r>
          </w:p>
        </w:tc>
        <w:tc>
          <w:tcPr>
            <w:tcW w:w="301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DCD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4.00</w:t>
            </w:r>
          </w:p>
        </w:tc>
      </w:tr>
      <w:tr w14:paraId="1DD828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2" w:hRule="atLeast"/>
        </w:trPr>
        <w:tc>
          <w:tcPr>
            <w:tcW w:w="5469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EEED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二、对个人和家庭的补助</w:t>
            </w:r>
          </w:p>
        </w:tc>
        <w:tc>
          <w:tcPr>
            <w:tcW w:w="301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36D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17.18</w:t>
            </w:r>
          </w:p>
        </w:tc>
      </w:tr>
    </w:tbl>
    <w:p w14:paraId="5331190A">
      <w:pPr>
        <w:snapToGrid w:val="0"/>
        <w:spacing w:line="520" w:lineRule="exact"/>
        <w:ind w:firstLine="640" w:firstLineChars="200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项目支出情况：</w:t>
      </w:r>
      <w:r>
        <w:rPr>
          <w:rFonts w:hint="eastAsia" w:ascii="仿宋_GB2312" w:hAnsi="仿宋" w:eastAsia="仿宋_GB2312"/>
          <w:sz w:val="32"/>
          <w:szCs w:val="32"/>
        </w:rPr>
        <w:t>项目支出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137.04万</w:t>
      </w:r>
      <w:r>
        <w:rPr>
          <w:rFonts w:hint="eastAsia" w:ascii="仿宋_GB2312" w:hAnsi="仿宋" w:eastAsia="仿宋_GB2312"/>
          <w:sz w:val="32"/>
          <w:szCs w:val="32"/>
        </w:rPr>
        <w:t>元，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如下图所示：</w:t>
      </w:r>
    </w:p>
    <w:p w14:paraId="06F7E8E3">
      <w:pPr>
        <w:pStyle w:val="2"/>
        <w:numPr>
          <w:ilvl w:val="0"/>
          <w:numId w:val="0"/>
        </w:numPr>
        <w:spacing w:before="87" w:line="222" w:lineRule="auto"/>
        <w:ind w:left="760" w:leftChars="0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单位：万元</w:t>
      </w:r>
    </w:p>
    <w:tbl>
      <w:tblPr>
        <w:tblStyle w:val="4"/>
        <w:tblW w:w="848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69"/>
        <w:gridCol w:w="3011"/>
      </w:tblGrid>
      <w:tr w14:paraId="502AAB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7" w:hRule="atLeast"/>
        </w:trPr>
        <w:tc>
          <w:tcPr>
            <w:tcW w:w="5469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779C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一、资本性支出</w:t>
            </w:r>
          </w:p>
        </w:tc>
        <w:tc>
          <w:tcPr>
            <w:tcW w:w="301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8E7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137.04</w:t>
            </w:r>
          </w:p>
        </w:tc>
      </w:tr>
    </w:tbl>
    <w:p w14:paraId="2D8346D3">
      <w:pPr>
        <w:pStyle w:val="2"/>
        <w:numPr>
          <w:ilvl w:val="0"/>
          <w:numId w:val="0"/>
        </w:numPr>
        <w:spacing w:before="83" w:line="247" w:lineRule="auto"/>
        <w:ind w:right="126" w:rightChars="0"/>
        <w:rPr>
          <w:rFonts w:hint="eastAsia" w:ascii="仿宋_GB2312" w:hAnsi="仿宋" w:eastAsia="仿宋_GB2312"/>
          <w:sz w:val="32"/>
          <w:szCs w:val="32"/>
          <w:lang w:val="en-US" w:eastAsia="zh-CN"/>
        </w:rPr>
      </w:pPr>
    </w:p>
    <w:p w14:paraId="26D7CD4E">
      <w:pPr>
        <w:pStyle w:val="2"/>
        <w:spacing w:before="79" w:line="249" w:lineRule="auto"/>
        <w:ind w:right="124" w:firstLine="634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/>
          <w:bCs/>
          <w:snapToGrid w:val="0"/>
          <w:color w:val="000000"/>
          <w:spacing w:val="2"/>
          <w:kern w:val="0"/>
          <w:sz w:val="32"/>
          <w:szCs w:val="32"/>
          <w:lang w:val="en-US" w:eastAsia="zh-CN" w:bidi="ar-SA"/>
        </w:rPr>
        <w:t>四、国有资本经营预算支出情况。</w:t>
      </w:r>
      <w:r>
        <w:rPr>
          <w:rFonts w:ascii="黑体" w:hAnsi="黑体" w:eastAsia="黑体" w:cs="黑体"/>
          <w:spacing w:val="-26"/>
        </w:rPr>
        <w:t xml:space="preserve"> </w:t>
      </w:r>
      <w:r>
        <w:rPr>
          <w:spacing w:val="-3"/>
        </w:rPr>
        <w:t>我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单位无国有资本经营预算支出情况。</w:t>
      </w:r>
    </w:p>
    <w:p w14:paraId="3F937316">
      <w:pPr>
        <w:pStyle w:val="2"/>
        <w:spacing w:before="85" w:line="248" w:lineRule="auto"/>
        <w:ind w:right="124" w:firstLine="634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/>
          <w:bCs/>
          <w:snapToGrid w:val="0"/>
          <w:color w:val="000000"/>
          <w:spacing w:val="2"/>
          <w:kern w:val="0"/>
          <w:sz w:val="32"/>
          <w:szCs w:val="32"/>
          <w:lang w:val="en-US" w:eastAsia="zh-CN" w:bidi="ar-SA"/>
        </w:rPr>
        <w:t>五、社会保险基金预算支出情况。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我单位无社会保险基金预算支出情况。</w:t>
      </w:r>
    </w:p>
    <w:p w14:paraId="43257B01">
      <w:pPr>
        <w:spacing w:before="13" w:line="222" w:lineRule="auto"/>
        <w:ind w:left="634"/>
        <w:outlineLvl w:val="2"/>
        <w:rPr>
          <w:rFonts w:hint="eastAsia" w:ascii="楷体" w:hAnsi="楷体" w:eastAsia="楷体" w:cs="楷体"/>
          <w:b/>
          <w:bCs/>
          <w:spacing w:val="2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pacing w:val="2"/>
          <w:sz w:val="32"/>
          <w:szCs w:val="32"/>
          <w:lang w:val="en-US" w:eastAsia="zh-CN"/>
        </w:rPr>
        <w:t>六、部门整体支出绩效情况</w:t>
      </w:r>
    </w:p>
    <w:p w14:paraId="1F085200">
      <w:pPr>
        <w:pStyle w:val="2"/>
        <w:spacing w:before="66" w:line="275" w:lineRule="auto"/>
        <w:ind w:firstLine="630"/>
        <w:jc w:val="both"/>
        <w:rPr>
          <w:spacing w:val="3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2025年度本单位严格遵循《中华人民共和国预算法》及其实施条例，坚持“统筹兼顾、厉行节约、讲求绩效、收支平衡”的原则，科学编制并严格执行部门预算。全年“四本预算”（一般公共预算、政府性基金预算、国有资本经营预算、社会保险基金预算，视本单位实际涉及范围）支出总体控制在年初预算规模内，执行进度符合预期，预算刚性约束有力。在保障人员经费、日常公用经费等刚性支出的基础上，围绕中心工作和重点任务部署，完成了既定数量的业务工作与项目活动，产出数量、质量、时效指标总体达到预期标准。通过细化预算编制、强化过程监控、严控一般性支出和非急需非刚性支出，单位运行成本得到有效控制，“三公”经费等支出持续保持在合理较低水平。通过高效履职和提供优质公共服务，服务对象的获得感、幸福感、安全感切实增强，社会公众、服务对象及相关利益方对本单位工作的整体满意度保持在较高水平，单位形象和社会公信力良好。</w:t>
      </w:r>
    </w:p>
    <w:p w14:paraId="5719B0A5">
      <w:pPr>
        <w:spacing w:before="13" w:line="222" w:lineRule="auto"/>
        <w:ind w:left="634"/>
        <w:outlineLvl w:val="2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pacing w:val="2"/>
          <w:sz w:val="32"/>
          <w:szCs w:val="32"/>
        </w:rPr>
        <w:t>七、存在的问题及原因分析</w:t>
      </w:r>
    </w:p>
    <w:p w14:paraId="3BA55099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 w:firstLineChars="20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spacing w:val="3"/>
          <w:kern w:val="0"/>
          <w:sz w:val="31"/>
          <w:szCs w:val="31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当前预算绩效管理与部门整体运行中，仍存在以下突出问题：</w:t>
      </w:r>
    </w:p>
    <w:p w14:paraId="476E42E2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一是绩效目标设置科学性与精准度不足，部分项目绩效指标未能聚焦核心产出与效益，定性偏多、量化不足，导致评价区分度不高：</w:t>
      </w:r>
    </w:p>
    <w:p w14:paraId="4C8995D2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二是资金分配前瞻性与统筹性不强，跨领域、跨项目资金整合机制不完善，“零基”理念落实不彻底，动态优化配置能力有待提升。</w:t>
      </w:r>
    </w:p>
    <w:p w14:paraId="5F6EFE60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产生问题的原因主要包括：对预算绩效管理理念理解不够深入，部分人员绩效管理能力不足；绩效评价结果应用机制不健全，制度衔接与操作细则有待细化；预算编制前期论证与需求测算深度不足，对执行中可能变化预估不充分。</w:t>
      </w:r>
    </w:p>
    <w:p w14:paraId="74719725">
      <w:pPr>
        <w:spacing w:before="13" w:line="222" w:lineRule="auto"/>
        <w:ind w:left="634"/>
        <w:outlineLvl w:val="2"/>
        <w:rPr>
          <w:rFonts w:hint="eastAsia" w:ascii="楷体" w:hAnsi="楷体" w:eastAsia="楷体" w:cs="楷体"/>
          <w:b/>
          <w:bCs/>
          <w:spacing w:val="2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pacing w:val="2"/>
          <w:sz w:val="32"/>
          <w:szCs w:val="32"/>
          <w:lang w:val="en-US" w:eastAsia="zh-CN"/>
        </w:rPr>
        <w:t>八、下一步改进措施</w:t>
      </w:r>
    </w:p>
    <w:p w14:paraId="790776C5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为提升预算绩效管理效能，将采取以下措施：</w:t>
      </w:r>
    </w:p>
    <w:p w14:paraId="5A5F5FD7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1、深化全过程绩效管理。定期开展绩效目标设定与指标量化专题培训，分类建立共性绩效指标框架与分领域核心指标库。强化绩效目标联审机制，由财务、规划、业务等部门联合审核，确保目标科学、可衡量、有挑战。</w:t>
      </w:r>
    </w:p>
    <w:p w14:paraId="60FF9A20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2、强化结果应用与公开。完善制度，将绩效评价结果作为下年度预算安排和政策调整的重要依据。对绩效优良项目优先保障，对较差项目按程序核减预算并督促整改。推动重要项目绩效目标与评价结果内部公开，接受监督，促进管理持续优化。</w:t>
      </w:r>
    </w:p>
    <w:p w14:paraId="5AD2C0D9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32" w:firstLineChars="20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spacing w:val="3"/>
          <w:kern w:val="0"/>
          <w:sz w:val="31"/>
          <w:szCs w:val="31"/>
          <w:lang w:val="en-US" w:eastAsia="zh-CN" w:bidi="ar-SA"/>
        </w:rPr>
      </w:pPr>
    </w:p>
    <w:sectPr>
      <w:headerReference r:id="rId6" w:type="default"/>
      <w:footerReference r:id="rId7" w:type="default"/>
      <w:pgSz w:w="11750" w:h="16860"/>
      <w:pgMar w:top="1433" w:right="1314" w:bottom="1021" w:left="995" w:header="0" w:footer="66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354740">
    <w:pPr>
      <w:spacing w:line="233" w:lineRule="auto"/>
      <w:ind w:left="4070"/>
      <w:rPr>
        <w:rFonts w:ascii="宋体" w:hAnsi="宋体" w:eastAsia="宋体" w:cs="宋体"/>
        <w:sz w:val="29"/>
        <w:szCs w:val="29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35C9B9">
    <w:pPr>
      <w:spacing w:line="234" w:lineRule="auto"/>
      <w:ind w:left="4344"/>
      <w:rPr>
        <w:rFonts w:ascii="宋体" w:hAnsi="宋体" w:eastAsia="宋体" w:cs="宋体"/>
        <w:sz w:val="27"/>
        <w:szCs w:val="27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CC09E7">
    <w:pPr>
      <w:spacing w:line="14" w:lineRule="auto"/>
      <w:rPr>
        <w:rFonts w:ascii="Arial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C8FBEA"/>
    <w:multiLevelType w:val="singleLevel"/>
    <w:tmpl w:val="B7C8FBEA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395ED29F"/>
    <w:multiLevelType w:val="singleLevel"/>
    <w:tmpl w:val="395ED29F"/>
    <w:lvl w:ilvl="0" w:tentative="0">
      <w:start w:val="2"/>
      <w:numFmt w:val="chineseCounting"/>
      <w:lvlText w:val="(%1)"/>
      <w:lvlJc w:val="left"/>
      <w:pPr>
        <w:tabs>
          <w:tab w:val="left" w:pos="312"/>
        </w:tabs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rsids>
    <w:rsidRoot w:val="00000000"/>
    <w:rsid w:val="06970573"/>
    <w:rsid w:val="1AF56F4E"/>
    <w:rsid w:val="3B053FA6"/>
    <w:rsid w:val="47E95008"/>
    <w:rsid w:val="4D9819DB"/>
    <w:rsid w:val="6569339A"/>
    <w:rsid w:val="66347425"/>
    <w:rsid w:val="71F11A2B"/>
    <w:rsid w:val="728D135A"/>
    <w:rsid w:val="F8CA7F7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Strong"/>
    <w:basedOn w:val="5"/>
    <w:qFormat/>
    <w:uiPriority w:val="0"/>
    <w:rPr>
      <w:b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9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2081</Words>
  <Characters>2235</Characters>
  <TotalTime>56</TotalTime>
  <ScaleCrop>false</ScaleCrop>
  <LinksUpToDate>false</LinksUpToDate>
  <CharactersWithSpaces>2247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2025-03-26T17:50:00Z</dcterms:created>
  <dc:creator>徐柯思</dc:creator>
  <cp:lastModifiedBy>欧-our</cp:lastModifiedBy>
  <cp:lastPrinted>2026-04-21T02:23:00Z</cp:lastPrinted>
  <dcterms:modified xsi:type="dcterms:W3CDTF">2026-09-10T07:49:07Z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2025-03-26T09:50:08Z</vt:filetime>
  </property>
  <property fmtid="{D5CDD505-2E9C-101B-9397-08002B2CF9AE}" pid="4" name="UsrData">
    <vt:lpwstr>67e35d4b1ddca0001f11646bwl</vt:lpwstr>
  </property>
  <property fmtid="{D5CDD505-2E9C-101B-9397-08002B2CF9AE}" pid="5" name="KSOTemplateDocerSaveRecord">
    <vt:lpwstr>eyJoZGlkIjoiODUxMjBlYjhkNzQ1NWFlZmEyZWU0OTA2MGIyZTQxMzciLCJ1c2VySWQiOiI0Mzc4NDU1NjQifQ==</vt:lpwstr>
  </property>
  <property fmtid="{D5CDD505-2E9C-101B-9397-08002B2CF9AE}" pid="6" name="KSOProductBuildVer">
    <vt:lpwstr>2052-12.1.0.28043</vt:lpwstr>
  </property>
  <property fmtid="{D5CDD505-2E9C-101B-9397-08002B2CF9AE}" pid="7" name="ICV">
    <vt:lpwstr>33F801A3B16F459D8CCD9A490DB0262D_13</vt:lpwstr>
  </property>
</Properties>
</file>