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78F18C">
      <w:pPr>
        <w:pStyle w:val="14"/>
        <w:jc w:val="center"/>
        <w:rPr>
          <w:rFonts w:ascii="Times New Roman" w:hAnsi="Times New Roman" w:cs="Times New Roman"/>
          <w:sz w:val="56"/>
          <w:szCs w:val="56"/>
        </w:rPr>
      </w:pPr>
    </w:p>
    <w:p w14:paraId="294321AB">
      <w:pPr>
        <w:pStyle w:val="14"/>
        <w:jc w:val="center"/>
        <w:rPr>
          <w:rFonts w:ascii="Times New Roman" w:hAnsi="Times New Roman" w:cs="Times New Roman"/>
          <w:sz w:val="84"/>
          <w:szCs w:val="84"/>
        </w:rPr>
      </w:pPr>
    </w:p>
    <w:p w14:paraId="3D5C4B20">
      <w:pPr>
        <w:pStyle w:val="14"/>
        <w:jc w:val="center"/>
        <w:rPr>
          <w:rFonts w:ascii="Times New Roman" w:hAnsi="Times New Roman" w:cs="Times New Roman"/>
          <w:sz w:val="84"/>
          <w:szCs w:val="84"/>
        </w:rPr>
      </w:pPr>
    </w:p>
    <w:p w14:paraId="048B7FAD">
      <w:pPr>
        <w:pStyle w:val="14"/>
        <w:jc w:val="center"/>
        <w:rPr>
          <w:rFonts w:ascii="Times New Roman" w:hAnsi="Times New Roman" w:eastAsia="方正小标宋简体" w:cs="Times New Roman"/>
          <w:sz w:val="60"/>
          <w:szCs w:val="60"/>
        </w:rPr>
      </w:pPr>
      <w:r>
        <w:rPr>
          <w:rFonts w:ascii="Times New Roman" w:hAnsi="Times New Roman" w:eastAsia="方正小标宋简体" w:cs="Times New Roman"/>
          <w:sz w:val="60"/>
          <w:szCs w:val="60"/>
        </w:rPr>
        <w:t>202</w:t>
      </w:r>
      <w:r>
        <w:rPr>
          <w:rFonts w:hint="eastAsia" w:ascii="Times New Roman" w:hAnsi="Times New Roman" w:eastAsia="方正小标宋简体" w:cs="Times New Roman"/>
          <w:sz w:val="60"/>
          <w:szCs w:val="60"/>
          <w:lang w:val="en-US" w:eastAsia="zh-CN"/>
        </w:rPr>
        <w:t>5</w:t>
      </w:r>
      <w:r>
        <w:rPr>
          <w:rFonts w:ascii="Times New Roman" w:hAnsi="Times New Roman" w:eastAsia="方正小标宋简体" w:cs="Times New Roman"/>
          <w:sz w:val="60"/>
          <w:szCs w:val="60"/>
        </w:rPr>
        <w:t>年度</w:t>
      </w:r>
    </w:p>
    <w:p w14:paraId="7C06EF80">
      <w:pPr>
        <w:pStyle w:val="14"/>
        <w:jc w:val="center"/>
        <w:rPr>
          <w:rFonts w:ascii="Times New Roman" w:hAnsi="Times New Roman" w:eastAsia="方正小标宋简体" w:cs="Times New Roman"/>
          <w:sz w:val="60"/>
          <w:szCs w:val="60"/>
        </w:rPr>
      </w:pPr>
      <w:r>
        <w:rPr>
          <w:rFonts w:hint="eastAsia" w:ascii="Times New Roman" w:hAnsi="Times New Roman" w:eastAsia="方正小标宋简体" w:cs="Times New Roman"/>
          <w:sz w:val="60"/>
          <w:szCs w:val="60"/>
          <w:lang w:val="en-US" w:eastAsia="zh-CN"/>
        </w:rPr>
        <w:t>蓝山县数据局（蓝山县行政审批服务局）</w:t>
      </w:r>
      <w:r>
        <w:rPr>
          <w:rFonts w:ascii="Times New Roman" w:hAnsi="Times New Roman" w:eastAsia="方正小标宋简体" w:cs="Times New Roman"/>
          <w:sz w:val="60"/>
          <w:szCs w:val="60"/>
        </w:rPr>
        <w:t>部门决算</w:t>
      </w:r>
    </w:p>
    <w:p w14:paraId="521E612E">
      <w:pPr>
        <w:pStyle w:val="14"/>
        <w:jc w:val="center"/>
        <w:rPr>
          <w:rFonts w:ascii="Times New Roman" w:hAnsi="Times New Roman" w:eastAsia="方正小标宋_GBK" w:cs="Times New Roman"/>
          <w:sz w:val="56"/>
          <w:szCs w:val="56"/>
        </w:rPr>
      </w:pPr>
    </w:p>
    <w:p w14:paraId="10551090">
      <w:pPr>
        <w:pStyle w:val="14"/>
        <w:jc w:val="center"/>
        <w:rPr>
          <w:rFonts w:ascii="Times New Roman" w:hAnsi="Times New Roman" w:cs="Times New Roman"/>
          <w:sz w:val="56"/>
          <w:szCs w:val="56"/>
        </w:rPr>
      </w:pPr>
    </w:p>
    <w:p w14:paraId="245688BA">
      <w:pPr>
        <w:pStyle w:val="14"/>
        <w:rPr>
          <w:rFonts w:ascii="Times New Roman" w:hAnsi="Times New Roman" w:cs="Times New Roman"/>
          <w:sz w:val="56"/>
          <w:szCs w:val="56"/>
        </w:rPr>
      </w:pPr>
    </w:p>
    <w:p w14:paraId="2572FB5F">
      <w:pPr>
        <w:pStyle w:val="14"/>
        <w:jc w:val="center"/>
        <w:rPr>
          <w:rFonts w:ascii="Times New Roman" w:hAnsi="Times New Roman" w:cs="Times New Roman"/>
          <w:sz w:val="32"/>
          <w:szCs w:val="32"/>
        </w:rPr>
      </w:pPr>
    </w:p>
    <w:p w14:paraId="2A786F29">
      <w:pPr>
        <w:pStyle w:val="14"/>
        <w:jc w:val="center"/>
        <w:rPr>
          <w:rFonts w:ascii="Times New Roman" w:hAnsi="Times New Roman" w:cs="Times New Roman"/>
          <w:sz w:val="32"/>
          <w:szCs w:val="32"/>
        </w:rPr>
      </w:pPr>
    </w:p>
    <w:p w14:paraId="366ABE32">
      <w:pPr>
        <w:pStyle w:val="14"/>
        <w:jc w:val="center"/>
        <w:rPr>
          <w:rFonts w:ascii="Times New Roman" w:hAnsi="Times New Roman" w:cs="Times New Roman"/>
          <w:sz w:val="32"/>
          <w:szCs w:val="32"/>
        </w:rPr>
      </w:pPr>
    </w:p>
    <w:p w14:paraId="4466AA83">
      <w:pPr>
        <w:pStyle w:val="14"/>
        <w:jc w:val="center"/>
        <w:rPr>
          <w:rFonts w:ascii="Times New Roman" w:hAnsi="Times New Roman" w:cs="Times New Roman"/>
          <w:sz w:val="32"/>
          <w:szCs w:val="32"/>
        </w:rPr>
      </w:pPr>
    </w:p>
    <w:p w14:paraId="382DE621">
      <w:pPr>
        <w:pStyle w:val="14"/>
        <w:jc w:val="center"/>
        <w:rPr>
          <w:rFonts w:ascii="Times New Roman" w:hAnsi="Times New Roman" w:cs="Times New Roman"/>
          <w:sz w:val="32"/>
          <w:szCs w:val="32"/>
        </w:rPr>
      </w:pPr>
    </w:p>
    <w:p w14:paraId="1C70DF50">
      <w:pPr>
        <w:pStyle w:val="14"/>
        <w:jc w:val="center"/>
        <w:rPr>
          <w:rFonts w:ascii="Times New Roman" w:hAnsi="Times New Roman" w:cs="Times New Roman"/>
          <w:sz w:val="32"/>
          <w:szCs w:val="32"/>
        </w:rPr>
      </w:pPr>
    </w:p>
    <w:p w14:paraId="19B4C99D">
      <w:pPr>
        <w:pStyle w:val="14"/>
        <w:spacing w:line="540" w:lineRule="exact"/>
        <w:jc w:val="center"/>
        <w:rPr>
          <w:rFonts w:ascii="Times New Roman" w:hAnsi="Times New Roman" w:cs="Times New Roman"/>
          <w:sz w:val="56"/>
          <w:szCs w:val="56"/>
        </w:rPr>
      </w:pPr>
    </w:p>
    <w:p w14:paraId="3BEED508">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2BFE5E31">
      <w:pPr>
        <w:pStyle w:val="14"/>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5360335D">
      <w:pPr>
        <w:pStyle w:val="14"/>
        <w:spacing w:line="600" w:lineRule="exact"/>
        <w:jc w:val="center"/>
        <w:rPr>
          <w:rFonts w:ascii="Times New Roman" w:hAnsi="Times New Roman" w:cs="Times New Roman"/>
          <w:b/>
          <w:sz w:val="36"/>
          <w:szCs w:val="28"/>
        </w:rPr>
      </w:pPr>
    </w:p>
    <w:p w14:paraId="20BE3494">
      <w:pPr>
        <w:pStyle w:val="14"/>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第一部分 部门（单位）概况</w:t>
      </w:r>
    </w:p>
    <w:p w14:paraId="3B54B5DC">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47953430">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33758CA4">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6285B6FA">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48A49BFB">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68AF0CA5">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41D56F2E">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49023B90">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546C3153">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3D974C4A">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740DA5A0">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27908FAC">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196DE08F">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0F833472">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2FC1A878">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01E75E1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3B2B7C0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2293D69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0BBEE686">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14:paraId="6D6CC78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78C1B06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6A0BF05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3A3760D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7DA71EC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4078E37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1840581C">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74FBDAD7">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64DBA666">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73655EF2">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024E3EAB">
      <w:pPr>
        <w:pStyle w:val="14"/>
        <w:spacing w:line="600" w:lineRule="exact"/>
        <w:rPr>
          <w:rFonts w:ascii="Times New Roman" w:hAnsi="Times New Roman" w:cs="Times New Roman"/>
          <w:bCs/>
          <w:sz w:val="28"/>
          <w:szCs w:val="28"/>
        </w:rPr>
      </w:pPr>
    </w:p>
    <w:p w14:paraId="37CE7303">
      <w:pPr>
        <w:jc w:val="center"/>
        <w:rPr>
          <w:rFonts w:ascii="Times New Roman" w:hAnsi="Times New Roman" w:cs="Times New Roman"/>
          <w:sz w:val="72"/>
          <w:szCs w:val="72"/>
        </w:rPr>
      </w:pPr>
    </w:p>
    <w:p w14:paraId="31AFFC1D">
      <w:pPr>
        <w:jc w:val="center"/>
        <w:rPr>
          <w:rFonts w:ascii="Times New Roman" w:hAnsi="Times New Roman" w:cs="Times New Roman"/>
          <w:sz w:val="72"/>
          <w:szCs w:val="72"/>
        </w:rPr>
      </w:pPr>
    </w:p>
    <w:p w14:paraId="72B53CD0">
      <w:pPr>
        <w:jc w:val="center"/>
        <w:rPr>
          <w:rFonts w:ascii="Times New Roman" w:hAnsi="Times New Roman" w:cs="Times New Roman"/>
          <w:sz w:val="72"/>
          <w:szCs w:val="72"/>
        </w:rPr>
      </w:pPr>
    </w:p>
    <w:p w14:paraId="25006725">
      <w:pPr>
        <w:pStyle w:val="2"/>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14:paraId="6065A464">
      <w:pPr>
        <w:rPr>
          <w:rFonts w:ascii="Times New Roman" w:hAnsi="Times New Roman" w:eastAsia="方正小标宋_GBK" w:cs="Times New Roman"/>
          <w:sz w:val="72"/>
          <w:szCs w:val="72"/>
        </w:rPr>
      </w:pPr>
    </w:p>
    <w:p w14:paraId="6FC082F6">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446497A6">
      <w:pPr>
        <w:pStyle w:val="14"/>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蓝山县数据局（蓝山县行政审批服务局）部门</w:t>
      </w:r>
      <w:r>
        <w:rPr>
          <w:rFonts w:ascii="Times New Roman" w:hAnsi="Times New Roman" w:eastAsia="方正小标宋_GBK" w:cs="Times New Roman"/>
          <w:sz w:val="52"/>
          <w:szCs w:val="52"/>
        </w:rPr>
        <w:t>概况</w:t>
      </w:r>
    </w:p>
    <w:p w14:paraId="51267CC4">
      <w:pPr>
        <w:pStyle w:val="3"/>
        <w:ind w:left="0" w:leftChars="0" w:firstLine="0" w:firstLineChars="0"/>
        <w:rPr>
          <w:rFonts w:ascii="Times New Roman" w:hAnsi="Times New Roman" w:cs="Times New Roman"/>
        </w:rPr>
      </w:pPr>
    </w:p>
    <w:p w14:paraId="6F6D6F09">
      <w:pPr>
        <w:pStyle w:val="15"/>
        <w:numPr>
          <w:ilvl w:val="0"/>
          <w:numId w:val="1"/>
        </w:numPr>
        <w:spacing w:line="600" w:lineRule="exact"/>
        <w:ind w:firstLine="643" w:firstLineChars="200"/>
        <w:jc w:val="left"/>
        <w:rPr>
          <w:rFonts w:hint="eastAsia" w:ascii="仿宋" w:hAnsi="仿宋" w:eastAsia="仿宋" w:cs="仿宋"/>
          <w:b/>
          <w:bCs/>
          <w:sz w:val="32"/>
          <w:szCs w:val="32"/>
        </w:rPr>
      </w:pPr>
      <w:r>
        <w:rPr>
          <w:rFonts w:hint="eastAsia" w:ascii="仿宋" w:hAnsi="仿宋" w:eastAsia="仿宋" w:cs="仿宋"/>
          <w:b/>
          <w:bCs/>
          <w:sz w:val="32"/>
          <w:szCs w:val="32"/>
        </w:rPr>
        <w:t>部门职责</w:t>
      </w:r>
    </w:p>
    <w:p w14:paraId="22087D02">
      <w:pPr>
        <w:pStyle w:val="15"/>
        <w:numPr>
          <w:ilvl w:val="0"/>
          <w:numId w:val="0"/>
        </w:numPr>
        <w:spacing w:line="6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(一)负责统筹推进数字蓝山、数字经济、数字政务、数字社会规划和建设。组织实施全县大数据战略。协调推动公共服务和社会治理信息化，协调促进智慧城市建设。</w:t>
      </w:r>
    </w:p>
    <w:p w14:paraId="7C9CAFF0">
      <w:pPr>
        <w:ind w:firstLine="640" w:firstLineChars="200"/>
        <w:rPr>
          <w:rFonts w:hint="eastAsia" w:ascii="仿宋" w:hAnsi="仿宋" w:eastAsia="仿宋" w:cs="仿宋"/>
          <w:sz w:val="32"/>
          <w:szCs w:val="32"/>
        </w:rPr>
      </w:pPr>
      <w:r>
        <w:rPr>
          <w:rFonts w:hint="eastAsia" w:ascii="仿宋" w:hAnsi="仿宋" w:eastAsia="仿宋" w:cs="仿宋"/>
          <w:sz w:val="32"/>
          <w:szCs w:val="32"/>
        </w:rPr>
        <w:t>(二)协调推进数据要素产权、流通、分配、治理等数据制度建设，研究提出培育数据要素市场的政策建议，指导数据要素市场建设，牵头拟订相关规范性文件，组织实施相关指标标准规范。统筹、指导数据交易场所建设发展。</w:t>
      </w:r>
    </w:p>
    <w:p w14:paraId="073A2E41">
      <w:pPr>
        <w:ind w:firstLine="640" w:firstLineChars="200"/>
        <w:rPr>
          <w:rFonts w:hint="eastAsia" w:ascii="仿宋" w:hAnsi="仿宋" w:eastAsia="仿宋" w:cs="仿宋"/>
          <w:sz w:val="32"/>
          <w:szCs w:val="32"/>
        </w:rPr>
      </w:pPr>
      <w:r>
        <w:rPr>
          <w:rFonts w:hint="eastAsia" w:ascii="仿宋" w:hAnsi="仿宋" w:eastAsia="仿宋" w:cs="仿宋"/>
          <w:sz w:val="32"/>
          <w:szCs w:val="32"/>
        </w:rPr>
        <w:t>(三)组织拟订有关数据基础设施布局规划，协调推进数据基础设施布局建设。负责统筹推进数字政务基础底座的建设管理。</w:t>
      </w:r>
    </w:p>
    <w:p w14:paraId="564E7E23">
      <w:pPr>
        <w:ind w:firstLine="640" w:firstLineChars="200"/>
        <w:rPr>
          <w:rFonts w:hint="eastAsia" w:ascii="仿宋" w:hAnsi="仿宋" w:eastAsia="仿宋" w:cs="仿宋"/>
          <w:sz w:val="32"/>
          <w:szCs w:val="32"/>
        </w:rPr>
      </w:pPr>
      <w:r>
        <w:rPr>
          <w:rFonts w:hint="eastAsia" w:ascii="仿宋" w:hAnsi="仿宋" w:eastAsia="仿宋" w:cs="仿宋"/>
          <w:sz w:val="32"/>
          <w:szCs w:val="32"/>
        </w:rPr>
        <w:t>(四)统筹数据资源整合共享和开发利用。协调推进数据资源分类分级管理，组织推动公共数据资源开发利用，推动信息资源跨行业跨部门互联互通。统筹推进全县数据领域区域合作。</w:t>
      </w:r>
    </w:p>
    <w:p w14:paraId="0F0B60C7">
      <w:pPr>
        <w:ind w:firstLine="640" w:firstLineChars="200"/>
        <w:rPr>
          <w:rFonts w:hint="eastAsia" w:ascii="仿宋" w:hAnsi="仿宋" w:eastAsia="仿宋" w:cs="仿宋"/>
          <w:sz w:val="32"/>
          <w:szCs w:val="32"/>
        </w:rPr>
      </w:pPr>
      <w:r>
        <w:rPr>
          <w:rFonts w:hint="eastAsia" w:ascii="仿宋" w:hAnsi="仿宋" w:eastAsia="仿宋" w:cs="仿宋"/>
          <w:sz w:val="32"/>
          <w:szCs w:val="32"/>
        </w:rPr>
        <w:t>(五)统筹推进数字经济发展，协同促进数字产业化和产业数字化。推动跨领域跨行业数字化转型，促进数字经济和实体经济深度融合。</w:t>
      </w:r>
    </w:p>
    <w:p w14:paraId="5946AAF1">
      <w:pPr>
        <w:ind w:firstLine="640" w:firstLineChars="200"/>
        <w:rPr>
          <w:rFonts w:hint="eastAsia" w:ascii="仿宋" w:hAnsi="仿宋" w:eastAsia="仿宋" w:cs="仿宋"/>
          <w:sz w:val="32"/>
          <w:szCs w:val="32"/>
        </w:rPr>
      </w:pPr>
      <w:r>
        <w:rPr>
          <w:rFonts w:hint="eastAsia" w:ascii="仿宋" w:hAnsi="仿宋" w:eastAsia="仿宋" w:cs="仿宋"/>
          <w:sz w:val="32"/>
          <w:szCs w:val="32"/>
        </w:rPr>
        <w:t>(六)协调推进数据领域核心技术、关键设备等重大科技攻关。</w:t>
      </w:r>
    </w:p>
    <w:p w14:paraId="12C3BF14">
      <w:pPr>
        <w:ind w:firstLine="640" w:firstLineChars="200"/>
        <w:rPr>
          <w:rFonts w:hint="eastAsia" w:ascii="仿宋" w:hAnsi="仿宋" w:eastAsia="仿宋" w:cs="仿宋"/>
          <w:sz w:val="32"/>
          <w:szCs w:val="32"/>
        </w:rPr>
      </w:pPr>
      <w:r>
        <w:rPr>
          <w:rFonts w:hint="eastAsia" w:ascii="仿宋" w:hAnsi="仿宋" w:eastAsia="仿宋" w:cs="仿宋"/>
          <w:sz w:val="32"/>
          <w:szCs w:val="32"/>
        </w:rPr>
        <w:t>(七)在具体承担数据制度建设、数据要素市场建设、数据标准规范、数据基础设施建设、政务服务管理等职责中，履行相应数据安全职责，负责拟订相关数据安全政策措施并组织实施。</w:t>
      </w:r>
    </w:p>
    <w:p w14:paraId="6CCB1334">
      <w:pPr>
        <w:ind w:firstLine="640" w:firstLineChars="200"/>
        <w:rPr>
          <w:rFonts w:hint="eastAsia" w:ascii="仿宋" w:hAnsi="仿宋" w:eastAsia="仿宋" w:cs="仿宋"/>
          <w:sz w:val="32"/>
          <w:szCs w:val="32"/>
        </w:rPr>
      </w:pPr>
      <w:r>
        <w:rPr>
          <w:rFonts w:hint="eastAsia" w:ascii="仿宋" w:hAnsi="仿宋" w:eastAsia="仿宋" w:cs="仿宋"/>
          <w:sz w:val="32"/>
          <w:szCs w:val="32"/>
        </w:rPr>
        <w:t>(八)协同县委网络安全和信息化委员会办公室开展网络数据跨境流动安全评估和监管工作。</w:t>
      </w:r>
    </w:p>
    <w:p w14:paraId="7AA712D7">
      <w:pPr>
        <w:ind w:firstLine="640" w:firstLineChars="200"/>
        <w:rPr>
          <w:rFonts w:hint="eastAsia" w:ascii="仿宋" w:hAnsi="仿宋" w:eastAsia="仿宋" w:cs="仿宋"/>
          <w:sz w:val="32"/>
          <w:szCs w:val="32"/>
        </w:rPr>
      </w:pPr>
      <w:r>
        <w:rPr>
          <w:rFonts w:hint="eastAsia" w:ascii="仿宋" w:hAnsi="仿宋" w:eastAsia="仿宋" w:cs="仿宋"/>
          <w:sz w:val="32"/>
          <w:szCs w:val="32"/>
        </w:rPr>
        <w:t>(九)统筹协调、规划指导、监督评估全县电子政务工作。统筹推进、协调监督全县“互联网+政务服务”工作。统筹全县“互联网+监管”系统建设和管理工作。协调推进全县行政效能工作。</w:t>
      </w:r>
    </w:p>
    <w:p w14:paraId="063CD912">
      <w:pPr>
        <w:ind w:firstLine="640" w:firstLineChars="200"/>
        <w:rPr>
          <w:rFonts w:hint="eastAsia" w:ascii="仿宋" w:hAnsi="仿宋" w:eastAsia="仿宋" w:cs="仿宋"/>
          <w:sz w:val="32"/>
          <w:szCs w:val="32"/>
        </w:rPr>
      </w:pPr>
      <w:r>
        <w:rPr>
          <w:rFonts w:hint="eastAsia" w:ascii="仿宋" w:hAnsi="仿宋" w:eastAsia="仿宋" w:cs="仿宋"/>
          <w:sz w:val="32"/>
          <w:szCs w:val="32"/>
        </w:rPr>
        <w:t>(十)统筹、指导、协调、监督全县政务公开和政务服务体系建设。</w:t>
      </w:r>
    </w:p>
    <w:p w14:paraId="2AB57788">
      <w:pPr>
        <w:ind w:firstLine="640" w:firstLineChars="200"/>
        <w:rPr>
          <w:rFonts w:hint="eastAsia" w:ascii="仿宋" w:hAnsi="仿宋" w:eastAsia="仿宋" w:cs="仿宋"/>
          <w:sz w:val="32"/>
          <w:szCs w:val="32"/>
        </w:rPr>
      </w:pPr>
      <w:r>
        <w:rPr>
          <w:rFonts w:hint="eastAsia" w:ascii="仿宋" w:hAnsi="仿宋" w:eastAsia="仿宋" w:cs="仿宋"/>
          <w:sz w:val="32"/>
          <w:szCs w:val="32"/>
        </w:rPr>
        <w:t>(十一)统筹、指导、协调、推进全县行政审批制度改革工作。</w:t>
      </w:r>
    </w:p>
    <w:p w14:paraId="5FF25D2F">
      <w:pPr>
        <w:ind w:firstLine="640" w:firstLineChars="200"/>
        <w:rPr>
          <w:rFonts w:hint="eastAsia" w:ascii="仿宋" w:hAnsi="仿宋" w:eastAsia="仿宋" w:cs="仿宋"/>
          <w:sz w:val="32"/>
          <w:szCs w:val="32"/>
        </w:rPr>
      </w:pPr>
      <w:r>
        <w:rPr>
          <w:rFonts w:hint="eastAsia" w:ascii="仿宋" w:hAnsi="仿宋" w:eastAsia="仿宋" w:cs="仿宋"/>
          <w:sz w:val="32"/>
          <w:szCs w:val="32"/>
        </w:rPr>
        <w:t>(十二)统筹规划、监督考核全县政府系统网站。统筹、指导、协调、监督全县政务新媒体工作。</w:t>
      </w:r>
    </w:p>
    <w:p w14:paraId="53A293B4">
      <w:pPr>
        <w:ind w:firstLine="640" w:firstLineChars="200"/>
        <w:rPr>
          <w:rFonts w:hint="eastAsia" w:ascii="仿宋" w:hAnsi="仿宋" w:eastAsia="仿宋" w:cs="仿宋"/>
          <w:sz w:val="32"/>
          <w:szCs w:val="32"/>
        </w:rPr>
      </w:pPr>
      <w:r>
        <w:rPr>
          <w:rFonts w:hint="eastAsia" w:ascii="仿宋" w:hAnsi="仿宋" w:eastAsia="仿宋" w:cs="仿宋"/>
          <w:sz w:val="32"/>
          <w:szCs w:val="32"/>
        </w:rPr>
        <w:t>(十三)组织协调、监督、推进全县社会信用体系建设。</w:t>
      </w:r>
    </w:p>
    <w:p w14:paraId="2A28ED6F">
      <w:pPr>
        <w:ind w:firstLine="640" w:firstLineChars="200"/>
        <w:rPr>
          <w:rFonts w:hint="eastAsia" w:ascii="仿宋" w:hAnsi="仿宋" w:eastAsia="仿宋" w:cs="仿宋"/>
          <w:sz w:val="32"/>
          <w:szCs w:val="32"/>
        </w:rPr>
      </w:pPr>
      <w:r>
        <w:rPr>
          <w:rFonts w:hint="eastAsia" w:ascii="仿宋" w:hAnsi="仿宋" w:eastAsia="仿宋" w:cs="仿宋"/>
          <w:sz w:val="32"/>
          <w:szCs w:val="32"/>
        </w:rPr>
        <w:t>(十四)统筹规划、协调、管理全县12345公共服务热线、政务联动处置工作。</w:t>
      </w:r>
    </w:p>
    <w:p w14:paraId="0468FA83">
      <w:pPr>
        <w:ind w:firstLine="640" w:firstLineChars="200"/>
        <w:rPr>
          <w:rFonts w:hint="eastAsia" w:ascii="仿宋" w:hAnsi="仿宋" w:eastAsia="仿宋" w:cs="仿宋"/>
          <w:sz w:val="32"/>
          <w:szCs w:val="32"/>
        </w:rPr>
      </w:pPr>
      <w:r>
        <w:rPr>
          <w:rFonts w:hint="eastAsia" w:ascii="仿宋" w:hAnsi="仿宋" w:eastAsia="仿宋" w:cs="仿宋"/>
          <w:sz w:val="32"/>
          <w:szCs w:val="32"/>
        </w:rPr>
        <w:t>(十五)承办县委、县政府交办的其他事项。</w:t>
      </w:r>
    </w:p>
    <w:p w14:paraId="2A531CAE">
      <w:pPr>
        <w:widowControl/>
        <w:spacing w:line="600" w:lineRule="exact"/>
        <w:ind w:firstLine="643" w:firstLineChars="200"/>
        <w:rPr>
          <w:rFonts w:hint="eastAsia" w:ascii="仿宋" w:hAnsi="仿宋" w:eastAsia="仿宋" w:cs="仿宋"/>
          <w:b/>
          <w:bCs w:val="0"/>
          <w:kern w:val="0"/>
          <w:sz w:val="32"/>
          <w:szCs w:val="32"/>
        </w:rPr>
      </w:pPr>
      <w:r>
        <w:rPr>
          <w:rFonts w:hint="eastAsia" w:ascii="仿宋" w:hAnsi="仿宋" w:eastAsia="仿宋" w:cs="仿宋"/>
          <w:b/>
          <w:bCs w:val="0"/>
          <w:kern w:val="0"/>
          <w:sz w:val="32"/>
          <w:szCs w:val="32"/>
        </w:rPr>
        <w:t>二、机构设置及决算单位构成</w:t>
      </w:r>
    </w:p>
    <w:p w14:paraId="65FDA7FF">
      <w:pPr>
        <w:ind w:firstLine="640" w:firstLineChars="200"/>
        <w:rPr>
          <w:rFonts w:hint="eastAsia" w:ascii="仿宋" w:hAnsi="仿宋" w:eastAsia="仿宋" w:cs="仿宋"/>
          <w:bCs/>
          <w:kern w:val="0"/>
          <w:sz w:val="32"/>
          <w:szCs w:val="32"/>
        </w:rPr>
      </w:pPr>
      <w:r>
        <w:rPr>
          <w:rFonts w:hint="eastAsia" w:ascii="仿宋" w:hAnsi="仿宋" w:eastAsia="仿宋" w:cs="仿宋"/>
          <w:bCs/>
          <w:kern w:val="0"/>
          <w:sz w:val="32"/>
          <w:szCs w:val="32"/>
        </w:rPr>
        <w:t>（一）</w:t>
      </w:r>
      <w:r>
        <w:rPr>
          <w:rFonts w:hint="eastAsia" w:ascii="仿宋" w:hAnsi="仿宋" w:eastAsia="仿宋" w:cs="仿宋"/>
          <w:b/>
          <w:bCs w:val="0"/>
          <w:kern w:val="0"/>
          <w:sz w:val="32"/>
          <w:szCs w:val="32"/>
        </w:rPr>
        <w:t>内设机构设置</w:t>
      </w:r>
      <w:r>
        <w:rPr>
          <w:rFonts w:hint="eastAsia" w:ascii="仿宋" w:hAnsi="仿宋" w:eastAsia="仿宋" w:cs="仿宋"/>
          <w:bCs/>
          <w:kern w:val="0"/>
          <w:sz w:val="32"/>
          <w:szCs w:val="32"/>
        </w:rPr>
        <w:t>。</w:t>
      </w:r>
    </w:p>
    <w:p w14:paraId="0D884A0A">
      <w:pPr>
        <w:ind w:firstLine="640" w:firstLineChars="200"/>
        <w:rPr>
          <w:rFonts w:hint="eastAsia" w:ascii="仿宋" w:hAnsi="仿宋" w:eastAsia="仿宋" w:cs="仿宋"/>
          <w:sz w:val="32"/>
          <w:szCs w:val="32"/>
        </w:rPr>
      </w:pPr>
      <w:r>
        <w:rPr>
          <w:rFonts w:hint="eastAsia" w:ascii="仿宋" w:hAnsi="仿宋" w:eastAsia="仿宋" w:cs="仿宋"/>
          <w:sz w:val="32"/>
          <w:szCs w:val="32"/>
        </w:rPr>
        <w:t>县政务服务中心，副科级全额拨款事业单位，编制22名；县现场查勘中心，副科级全额拨款事业单位，编制21名；县数据资源中心，副科级全额拨款事业单位，编制20名。</w:t>
      </w:r>
    </w:p>
    <w:p w14:paraId="54CACD45">
      <w:pPr>
        <w:widowControl/>
        <w:spacing w:line="600" w:lineRule="exact"/>
        <w:ind w:firstLine="640" w:firstLineChars="200"/>
        <w:rPr>
          <w:rFonts w:hint="eastAsia" w:ascii="仿宋" w:hAnsi="仿宋" w:eastAsia="仿宋" w:cs="仿宋"/>
          <w:bCs/>
          <w:kern w:val="0"/>
          <w:sz w:val="32"/>
          <w:szCs w:val="32"/>
        </w:rPr>
      </w:pPr>
      <w:r>
        <w:rPr>
          <w:rFonts w:hint="eastAsia" w:ascii="仿宋" w:hAnsi="仿宋" w:eastAsia="仿宋" w:cs="仿宋"/>
          <w:bCs/>
          <w:kern w:val="0"/>
          <w:sz w:val="32"/>
          <w:szCs w:val="32"/>
        </w:rPr>
        <w:t>（二）</w:t>
      </w:r>
      <w:r>
        <w:rPr>
          <w:rFonts w:hint="eastAsia" w:ascii="仿宋" w:hAnsi="仿宋" w:eastAsia="仿宋" w:cs="仿宋"/>
          <w:b/>
          <w:bCs w:val="0"/>
          <w:kern w:val="0"/>
          <w:sz w:val="32"/>
          <w:szCs w:val="32"/>
        </w:rPr>
        <w:t>决算单位构成。</w:t>
      </w:r>
    </w:p>
    <w:p w14:paraId="4E4802A7">
      <w:pPr>
        <w:widowControl/>
        <w:spacing w:line="600" w:lineRule="exact"/>
        <w:ind w:firstLine="640" w:firstLineChars="200"/>
        <w:rPr>
          <w:rFonts w:hint="eastAsia" w:ascii="仿宋" w:hAnsi="仿宋" w:eastAsia="仿宋" w:cs="仿宋"/>
          <w:bCs/>
          <w:kern w:val="0"/>
          <w:sz w:val="32"/>
          <w:szCs w:val="32"/>
        </w:rPr>
      </w:pPr>
      <w:r>
        <w:rPr>
          <w:rFonts w:hint="eastAsia" w:ascii="仿宋" w:hAnsi="仿宋" w:eastAsia="仿宋" w:cs="仿宋"/>
          <w:bCs/>
          <w:kern w:val="0"/>
          <w:sz w:val="32"/>
          <w:szCs w:val="32"/>
          <w:lang w:eastAsia="zh-CN"/>
        </w:rPr>
        <w:t>蓝山县数据局（蓝山县</w:t>
      </w:r>
      <w:r>
        <w:rPr>
          <w:rFonts w:hint="eastAsia" w:ascii="仿宋" w:hAnsi="仿宋" w:eastAsia="仿宋" w:cs="仿宋"/>
          <w:bCs/>
          <w:kern w:val="0"/>
          <w:sz w:val="32"/>
          <w:szCs w:val="32"/>
          <w:lang w:val="en-US" w:eastAsia="zh-CN"/>
        </w:rPr>
        <w:t>行政审批服务局</w:t>
      </w:r>
      <w:r>
        <w:rPr>
          <w:rFonts w:hint="eastAsia" w:ascii="仿宋" w:hAnsi="仿宋" w:eastAsia="仿宋" w:cs="仿宋"/>
          <w:bCs/>
          <w:kern w:val="0"/>
          <w:sz w:val="32"/>
          <w:szCs w:val="32"/>
          <w:lang w:eastAsia="zh-CN"/>
        </w:rPr>
        <w:t>）</w:t>
      </w:r>
      <w:r>
        <w:rPr>
          <w:rFonts w:hint="eastAsia" w:ascii="仿宋" w:hAnsi="仿宋" w:eastAsia="仿宋" w:cs="仿宋"/>
          <w:bCs/>
          <w:kern w:val="0"/>
          <w:sz w:val="32"/>
          <w:szCs w:val="32"/>
        </w:rPr>
        <w:t>202</w:t>
      </w:r>
      <w:r>
        <w:rPr>
          <w:rFonts w:hint="eastAsia" w:ascii="仿宋" w:hAnsi="仿宋" w:eastAsia="仿宋" w:cs="仿宋"/>
          <w:bCs/>
          <w:kern w:val="0"/>
          <w:sz w:val="32"/>
          <w:szCs w:val="32"/>
          <w:lang w:val="en-US" w:eastAsia="zh-CN"/>
        </w:rPr>
        <w:t>5</w:t>
      </w:r>
      <w:r>
        <w:rPr>
          <w:rFonts w:hint="eastAsia" w:ascii="仿宋" w:hAnsi="仿宋" w:eastAsia="仿宋" w:cs="仿宋"/>
          <w:bCs/>
          <w:kern w:val="0"/>
          <w:sz w:val="32"/>
          <w:szCs w:val="32"/>
        </w:rPr>
        <w:t>年部门决算汇总公开单位构成包括：</w:t>
      </w:r>
      <w:r>
        <w:rPr>
          <w:rFonts w:hint="eastAsia" w:ascii="仿宋" w:hAnsi="仿宋" w:eastAsia="仿宋" w:cs="仿宋"/>
          <w:bCs/>
          <w:kern w:val="0"/>
          <w:sz w:val="32"/>
          <w:szCs w:val="32"/>
          <w:lang w:eastAsia="zh-CN"/>
        </w:rPr>
        <w:t>蓝山县数据局（蓝山县</w:t>
      </w:r>
      <w:r>
        <w:rPr>
          <w:rFonts w:hint="eastAsia" w:ascii="仿宋" w:hAnsi="仿宋" w:eastAsia="仿宋" w:cs="仿宋"/>
          <w:bCs/>
          <w:kern w:val="0"/>
          <w:sz w:val="32"/>
          <w:szCs w:val="32"/>
          <w:lang w:val="en-US" w:eastAsia="zh-CN"/>
        </w:rPr>
        <w:t>行政审批服务局</w:t>
      </w:r>
      <w:r>
        <w:rPr>
          <w:rFonts w:hint="eastAsia" w:ascii="仿宋" w:hAnsi="仿宋" w:eastAsia="仿宋" w:cs="仿宋"/>
          <w:bCs/>
          <w:kern w:val="0"/>
          <w:sz w:val="32"/>
          <w:szCs w:val="32"/>
          <w:lang w:eastAsia="zh-CN"/>
        </w:rPr>
        <w:t>）</w:t>
      </w:r>
      <w:r>
        <w:rPr>
          <w:rFonts w:hint="eastAsia" w:ascii="仿宋" w:hAnsi="仿宋" w:eastAsia="仿宋" w:cs="仿宋"/>
          <w:bCs/>
          <w:kern w:val="0"/>
          <w:sz w:val="32"/>
          <w:szCs w:val="32"/>
        </w:rPr>
        <w:t>单位本级</w:t>
      </w:r>
    </w:p>
    <w:p w14:paraId="10A67AA7">
      <w:pPr>
        <w:jc w:val="left"/>
        <w:rPr>
          <w:rFonts w:hint="eastAsia" w:ascii="仿宋" w:hAnsi="仿宋" w:eastAsia="仿宋" w:cs="仿宋"/>
          <w:sz w:val="32"/>
          <w:szCs w:val="32"/>
        </w:rPr>
      </w:pPr>
    </w:p>
    <w:p w14:paraId="44187D63">
      <w:pPr>
        <w:jc w:val="center"/>
        <w:rPr>
          <w:rFonts w:ascii="Times New Roman" w:hAnsi="Times New Roman" w:eastAsia="黑体" w:cs="Times New Roman"/>
          <w:sz w:val="28"/>
          <w:szCs w:val="28"/>
        </w:rPr>
      </w:pPr>
    </w:p>
    <w:p w14:paraId="06689F49">
      <w:pPr>
        <w:jc w:val="center"/>
        <w:rPr>
          <w:rFonts w:ascii="Times New Roman" w:hAnsi="Times New Roman" w:eastAsia="黑体" w:cs="Times New Roman"/>
          <w:sz w:val="28"/>
          <w:szCs w:val="28"/>
        </w:rPr>
      </w:pPr>
    </w:p>
    <w:p w14:paraId="6E92446A">
      <w:pPr>
        <w:jc w:val="center"/>
        <w:rPr>
          <w:rFonts w:ascii="Times New Roman" w:hAnsi="Times New Roman" w:eastAsia="黑体" w:cs="Times New Roman"/>
          <w:sz w:val="28"/>
          <w:szCs w:val="28"/>
        </w:rPr>
      </w:pPr>
    </w:p>
    <w:p w14:paraId="5F70D1A0">
      <w:pPr>
        <w:jc w:val="center"/>
        <w:rPr>
          <w:rFonts w:ascii="Times New Roman" w:hAnsi="Times New Roman" w:eastAsia="黑体" w:cs="Times New Roman"/>
          <w:sz w:val="28"/>
          <w:szCs w:val="28"/>
        </w:rPr>
      </w:pPr>
    </w:p>
    <w:p w14:paraId="37718617">
      <w:pPr>
        <w:jc w:val="center"/>
        <w:rPr>
          <w:rFonts w:ascii="Times New Roman" w:hAnsi="Times New Roman" w:eastAsia="黑体" w:cs="Times New Roman"/>
          <w:sz w:val="28"/>
          <w:szCs w:val="28"/>
        </w:rPr>
      </w:pPr>
    </w:p>
    <w:p w14:paraId="09D3ED5C">
      <w:pPr>
        <w:pStyle w:val="2"/>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1F42E1F7">
      <w:pPr>
        <w:pStyle w:val="14"/>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0D4B855B">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7E6531D0">
      <w:pPr>
        <w:widowControl/>
        <w:tabs>
          <w:tab w:val="left" w:pos="4442"/>
          <w:tab w:val="left" w:pos="5045"/>
          <w:tab w:val="left" w:pos="6444"/>
          <w:tab w:val="left" w:pos="11477"/>
          <w:tab w:val="left" w:pos="13102"/>
        </w:tabs>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仿宋" w:hAnsi="仿宋" w:eastAsia="仿宋" w:cs="仿宋"/>
          <w:bCs/>
          <w:kern w:val="0"/>
          <w:sz w:val="22"/>
          <w:szCs w:val="22"/>
          <w:lang w:eastAsia="zh-CN"/>
        </w:rPr>
        <w:t>蓝山县数据局（蓝山县</w:t>
      </w:r>
      <w:r>
        <w:rPr>
          <w:rFonts w:hint="eastAsia" w:ascii="仿宋" w:hAnsi="仿宋" w:eastAsia="仿宋" w:cs="仿宋"/>
          <w:bCs/>
          <w:kern w:val="0"/>
          <w:sz w:val="22"/>
          <w:szCs w:val="22"/>
          <w:lang w:val="en-US" w:eastAsia="zh-CN"/>
        </w:rPr>
        <w:t>行政审批服务局</w:t>
      </w:r>
      <w:r>
        <w:rPr>
          <w:rFonts w:hint="eastAsia" w:ascii="仿宋" w:hAnsi="仿宋" w:eastAsia="仿宋" w:cs="仿宋"/>
          <w:bCs/>
          <w:kern w:val="0"/>
          <w:sz w:val="22"/>
          <w:szCs w:val="22"/>
          <w:lang w:eastAsia="zh-CN"/>
        </w:rPr>
        <w:t>）</w:t>
      </w:r>
      <w:r>
        <w:rPr>
          <w:rFonts w:hint="eastAsia" w:ascii="仿宋" w:hAnsi="仿宋" w:eastAsia="仿宋" w:cs="仿宋"/>
          <w:bCs/>
          <w:kern w:val="0"/>
          <w:sz w:val="22"/>
          <w:szCs w:val="22"/>
          <w:lang w:val="en-US" w:eastAsia="zh-CN"/>
        </w:rPr>
        <w:t xml:space="preserve">                                                                           </w:t>
      </w:r>
      <w:r>
        <w:rPr>
          <w:rFonts w:ascii="Times New Roman" w:hAnsi="Times New Roman" w:eastAsia="仿宋_GB2312" w:cs="Times New Roman"/>
          <w:color w:val="000000"/>
          <w:kern w:val="0"/>
          <w:sz w:val="20"/>
          <w:szCs w:val="20"/>
          <w:lang w:bidi="ar"/>
        </w:rPr>
        <w:t>公开01表</w:t>
      </w:r>
    </w:p>
    <w:p w14:paraId="46704138">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单位：万元</w:t>
      </w:r>
    </w:p>
    <w:tbl>
      <w:tblPr>
        <w:tblStyle w:val="9"/>
        <w:tblW w:w="14896" w:type="dxa"/>
        <w:jc w:val="center"/>
        <w:tblLayout w:type="fixed"/>
        <w:tblCellMar>
          <w:top w:w="0" w:type="dxa"/>
          <w:left w:w="108" w:type="dxa"/>
          <w:bottom w:w="0" w:type="dxa"/>
          <w:right w:w="108" w:type="dxa"/>
        </w:tblCellMar>
      </w:tblPr>
      <w:tblGrid>
        <w:gridCol w:w="5762"/>
        <w:gridCol w:w="850"/>
        <w:gridCol w:w="4024"/>
        <w:gridCol w:w="2118"/>
        <w:gridCol w:w="850"/>
        <w:gridCol w:w="1292"/>
      </w:tblGrid>
      <w:tr w14:paraId="5ED88EC3">
        <w:tblPrEx>
          <w:tblCellMar>
            <w:top w:w="0" w:type="dxa"/>
            <w:left w:w="108" w:type="dxa"/>
            <w:bottom w:w="0" w:type="dxa"/>
            <w:right w:w="108" w:type="dxa"/>
          </w:tblCellMar>
        </w:tblPrEx>
        <w:trPr>
          <w:trHeight w:val="500" w:hRule="exact"/>
          <w:jc w:val="center"/>
        </w:trPr>
        <w:tc>
          <w:tcPr>
            <w:tcW w:w="10636"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9DC3C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4260"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5CD26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40ADE193">
        <w:tblPrEx>
          <w:tblCellMar>
            <w:top w:w="0" w:type="dxa"/>
            <w:left w:w="108" w:type="dxa"/>
            <w:bottom w:w="0" w:type="dxa"/>
            <w:right w:w="108" w:type="dxa"/>
          </w:tblCellMar>
        </w:tblPrEx>
        <w:trPr>
          <w:trHeight w:val="4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10788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2A9493">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40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CD313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211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1A2E4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48AD0C">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12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929E2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0F900197">
        <w:tblPrEx>
          <w:tblCellMar>
            <w:top w:w="0" w:type="dxa"/>
            <w:left w:w="108" w:type="dxa"/>
            <w:bottom w:w="0" w:type="dxa"/>
            <w:right w:w="108" w:type="dxa"/>
          </w:tblCellMar>
        </w:tblPrEx>
        <w:trPr>
          <w:trHeight w:val="425"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5F128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8D00B3">
            <w:pPr>
              <w:jc w:val="center"/>
              <w:rPr>
                <w:rFonts w:ascii="Times New Roman" w:hAnsi="Times New Roman" w:eastAsia="仿宋_GB2312" w:cs="Times New Roman"/>
                <w:color w:val="000000"/>
                <w:sz w:val="24"/>
                <w:szCs w:val="24"/>
              </w:rPr>
            </w:pPr>
          </w:p>
        </w:tc>
        <w:tc>
          <w:tcPr>
            <w:tcW w:w="40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E240B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211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6218D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C4721F">
            <w:pPr>
              <w:jc w:val="center"/>
              <w:rPr>
                <w:rFonts w:ascii="Times New Roman" w:hAnsi="Times New Roman" w:eastAsia="仿宋_GB2312" w:cs="Times New Roman"/>
                <w:color w:val="000000"/>
                <w:sz w:val="24"/>
                <w:szCs w:val="24"/>
              </w:rPr>
            </w:pPr>
          </w:p>
        </w:tc>
        <w:tc>
          <w:tcPr>
            <w:tcW w:w="12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FDB56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05C8E12A">
        <w:tblPrEx>
          <w:tblCellMar>
            <w:top w:w="0" w:type="dxa"/>
            <w:left w:w="108" w:type="dxa"/>
            <w:bottom w:w="0" w:type="dxa"/>
            <w:right w:w="108" w:type="dxa"/>
          </w:tblCellMar>
        </w:tblPrEx>
        <w:trPr>
          <w:trHeight w:val="435"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7272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809AD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024" w:type="dxa"/>
            <w:tcBorders>
              <w:top w:val="single" w:color="000000" w:sz="4" w:space="0"/>
              <w:left w:val="single" w:color="000000" w:sz="4" w:space="0"/>
              <w:bottom w:val="single" w:color="000000" w:sz="4" w:space="0"/>
              <w:right w:val="single" w:color="000000" w:sz="4" w:space="0"/>
            </w:tcBorders>
            <w:shd w:val="clear" w:color="auto" w:fill="auto"/>
            <w:noWrap/>
            <w:vAlign w:val="center"/>
          </w:tcPr>
          <w:tbl>
            <w:tblPr>
              <w:tblStyle w:val="9"/>
              <w:tblW w:w="10524" w:type="dxa"/>
              <w:tblInd w:w="-114" w:type="dxa"/>
              <w:shd w:val="clear" w:color="auto" w:fill="auto"/>
              <w:tblLayout w:type="fixed"/>
              <w:tblCellMar>
                <w:top w:w="0" w:type="dxa"/>
                <w:left w:w="0" w:type="dxa"/>
                <w:bottom w:w="0" w:type="dxa"/>
                <w:right w:w="0" w:type="dxa"/>
              </w:tblCellMar>
            </w:tblPr>
            <w:tblGrid>
              <w:gridCol w:w="10524"/>
            </w:tblGrid>
            <w:tr w14:paraId="3DBF37AB">
              <w:tblPrEx>
                <w:shd w:val="clear" w:color="auto" w:fill="auto"/>
                <w:tblCellMar>
                  <w:top w:w="0" w:type="dxa"/>
                  <w:left w:w="0" w:type="dxa"/>
                  <w:bottom w:w="0" w:type="dxa"/>
                  <w:right w:w="0" w:type="dxa"/>
                </w:tblCellMar>
              </w:tblPrEx>
              <w:trPr>
                <w:trHeight w:val="300" w:hRule="atLeast"/>
              </w:trPr>
              <w:tc>
                <w:tcPr>
                  <w:tcW w:w="10524" w:type="dxa"/>
                  <w:tcBorders>
                    <w:top w:val="single" w:color="D4D4D4" w:sz="4" w:space="0"/>
                    <w:left w:val="single" w:color="D4D4D4" w:sz="4" w:space="0"/>
                    <w:bottom w:val="single" w:color="D4D4D4" w:sz="4" w:space="0"/>
                    <w:right w:val="single" w:color="D4D4D4" w:sz="4" w:space="0"/>
                  </w:tcBorders>
                  <w:shd w:val="clear" w:color="000000" w:fill="D6F6EF"/>
                  <w:noWrap/>
                  <w:tcMar>
                    <w:top w:w="15" w:type="dxa"/>
                    <w:left w:w="15" w:type="dxa"/>
                    <w:right w:w="15" w:type="dxa"/>
                  </w:tcMar>
                  <w:vAlign w:val="center"/>
                </w:tcPr>
                <w:tbl>
                  <w:tblPr>
                    <w:tblStyle w:val="9"/>
                    <w:tblW w:w="4505" w:type="dxa"/>
                    <w:tblInd w:w="-50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2301"/>
                    <w:gridCol w:w="2204"/>
                  </w:tblGrid>
                  <w:tr w14:paraId="367D0C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1" w:hRule="atLeast"/>
                    </w:trPr>
                    <w:tc>
                      <w:tcPr>
                        <w:tcW w:w="4505" w:type="dxa"/>
                        <w:gridSpan w:val="2"/>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7882B431">
                        <w:pPr>
                          <w:jc w:val="center"/>
                          <w:rPr>
                            <w:rFonts w:hint="eastAsia" w:ascii="Times New Roman" w:hAnsi="Times New Roman" w:eastAsia="仿宋_GB2312" w:cs="Times New Roman"/>
                            <w:color w:val="000000"/>
                            <w:sz w:val="22"/>
                          </w:rPr>
                        </w:pPr>
                        <w:r>
                          <w:rPr>
                            <w:rFonts w:hint="eastAsia" w:ascii="宋体" w:hAnsi="宋体" w:eastAsia="宋体" w:cs="宋体"/>
                            <w:i w:val="0"/>
                            <w:color w:val="000000"/>
                            <w:kern w:val="0"/>
                            <w:sz w:val="22"/>
                            <w:szCs w:val="22"/>
                            <w:u w:val="none"/>
                            <w:lang w:val="en-US" w:eastAsia="zh-CN" w:bidi="ar"/>
                          </w:rPr>
                          <w:t xml:space="preserve">     1,959.59</w:t>
                        </w:r>
                      </w:p>
                    </w:tc>
                  </w:tr>
                  <w:tr w14:paraId="78869C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01" w:hRule="atLeast"/>
                    </w:trPr>
                    <w:tc>
                      <w:tcPr>
                        <w:tcW w:w="2301" w:type="dxa"/>
                        <w:tcBorders>
                          <w:top w:val="single" w:color="D4D4D4" w:sz="4" w:space="0"/>
                          <w:left w:val="single" w:color="D4D4D4" w:sz="4" w:space="0"/>
                          <w:bottom w:val="single" w:color="D4D4D4" w:sz="4" w:space="0"/>
                          <w:right w:val="single" w:color="D4D4D4" w:sz="4" w:space="0"/>
                        </w:tcBorders>
                        <w:shd w:val="clear" w:color="auto" w:fill="auto"/>
                        <w:vAlign w:val="center"/>
                      </w:tcPr>
                      <w:p w14:paraId="7AD7AF7B">
                        <w:pPr>
                          <w:jc w:val="center"/>
                          <w:rPr>
                            <w:rFonts w:hint="eastAsia" w:ascii="Times New Roman" w:hAnsi="Times New Roman" w:eastAsia="仿宋_GB2312" w:cs="Times New Roman"/>
                            <w:color w:val="000000"/>
                            <w:sz w:val="22"/>
                          </w:rPr>
                        </w:pPr>
                      </w:p>
                    </w:tc>
                    <w:tc>
                      <w:tcPr>
                        <w:tcW w:w="2204" w:type="dxa"/>
                        <w:tcBorders>
                          <w:top w:val="single" w:color="D4D4D4" w:sz="4" w:space="0"/>
                          <w:left w:val="single" w:color="D4D4D4" w:sz="4" w:space="0"/>
                          <w:bottom w:val="single" w:color="D4D4D4" w:sz="4" w:space="0"/>
                          <w:right w:val="single" w:color="D4D4D4" w:sz="4" w:space="0"/>
                        </w:tcBorders>
                        <w:shd w:val="clear" w:color="auto" w:fill="auto"/>
                        <w:vAlign w:val="center"/>
                      </w:tcPr>
                      <w:p w14:paraId="46831065">
                        <w:pPr>
                          <w:jc w:val="center"/>
                          <w:rPr>
                            <w:rFonts w:hint="eastAsia" w:ascii="Times New Roman" w:hAnsi="Times New Roman" w:eastAsia="仿宋_GB2312" w:cs="Times New Roman"/>
                            <w:color w:val="000000"/>
                            <w:sz w:val="22"/>
                          </w:rPr>
                        </w:pPr>
                      </w:p>
                    </w:tc>
                  </w:tr>
                  <w:tr w14:paraId="5931E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01" w:hRule="atLeast"/>
                    </w:trPr>
                    <w:tc>
                      <w:tcPr>
                        <w:tcW w:w="2301" w:type="dxa"/>
                        <w:tcBorders>
                          <w:top w:val="single" w:color="D4D4D4" w:sz="4" w:space="0"/>
                          <w:left w:val="single" w:color="D4D4D4" w:sz="4" w:space="0"/>
                          <w:bottom w:val="single" w:color="D4D4D4" w:sz="4" w:space="0"/>
                          <w:right w:val="single" w:color="D4D4D4" w:sz="4" w:space="0"/>
                        </w:tcBorders>
                        <w:shd w:val="clear" w:color="auto" w:fill="auto"/>
                        <w:vAlign w:val="center"/>
                      </w:tcPr>
                      <w:p w14:paraId="5CB9DDD5">
                        <w:pPr>
                          <w:jc w:val="center"/>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104.99</w:t>
                        </w:r>
                      </w:p>
                    </w:tc>
                    <w:tc>
                      <w:tcPr>
                        <w:tcW w:w="2204" w:type="dxa"/>
                        <w:tcBorders>
                          <w:top w:val="single" w:color="D4D4D4" w:sz="4" w:space="0"/>
                          <w:left w:val="single" w:color="D4D4D4" w:sz="4" w:space="0"/>
                          <w:bottom w:val="single" w:color="D4D4D4" w:sz="4" w:space="0"/>
                          <w:right w:val="single" w:color="D4D4D4" w:sz="4" w:space="0"/>
                        </w:tcBorders>
                        <w:shd w:val="clear" w:color="auto" w:fill="auto"/>
                        <w:vAlign w:val="center"/>
                      </w:tcPr>
                      <w:p w14:paraId="512CDD29">
                        <w:pPr>
                          <w:jc w:val="center"/>
                          <w:rPr>
                            <w:rFonts w:hint="eastAsia" w:ascii="Times New Roman" w:hAnsi="Times New Roman" w:eastAsia="仿宋_GB2312" w:cs="Times New Roman"/>
                            <w:color w:val="000000"/>
                            <w:sz w:val="22"/>
                            <w:lang w:val="en-US" w:eastAsia="zh-CN"/>
                          </w:rPr>
                        </w:pPr>
                      </w:p>
                    </w:tc>
                  </w:tr>
                </w:tbl>
                <w:p w14:paraId="41A0FF30">
                  <w:pPr>
                    <w:jc w:val="center"/>
                    <w:rPr>
                      <w:rFonts w:hint="eastAsia" w:ascii="Times New Roman" w:hAnsi="Times New Roman" w:eastAsia="仿宋_GB2312" w:cs="Times New Roman"/>
                      <w:color w:val="000000"/>
                      <w:sz w:val="22"/>
                      <w:lang w:val="en-US" w:eastAsia="zh-CN"/>
                    </w:rPr>
                  </w:pPr>
                </w:p>
                <w:tbl>
                  <w:tblPr>
                    <w:tblStyle w:val="9"/>
                    <w:tblW w:w="180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801"/>
                  </w:tblGrid>
                  <w:tr w14:paraId="67800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1" w:hRule="atLeast"/>
                    </w:trPr>
                    <w:tc>
                      <w:tcPr>
                        <w:tcW w:w="1801" w:type="dxa"/>
                        <w:tcBorders>
                          <w:top w:val="single" w:color="D4D4D4" w:sz="4" w:space="0"/>
                          <w:left w:val="single" w:color="D4D4D4" w:sz="4" w:space="0"/>
                          <w:bottom w:val="single" w:color="D4D4D4" w:sz="4" w:space="0"/>
                          <w:right w:val="single" w:color="D4D4D4" w:sz="4" w:space="0"/>
                        </w:tcBorders>
                        <w:shd w:val="clear" w:color="auto" w:fill="auto"/>
                        <w:vAlign w:val="center"/>
                      </w:tcPr>
                      <w:p w14:paraId="6E25A226">
                        <w:pPr>
                          <w:jc w:val="center"/>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1,959.59</w:t>
                        </w:r>
                      </w:p>
                    </w:tc>
                  </w:tr>
                  <w:tr w14:paraId="480543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01" w:hRule="atLeast"/>
                    </w:trPr>
                    <w:tc>
                      <w:tcPr>
                        <w:tcW w:w="1801" w:type="dxa"/>
                        <w:tcBorders>
                          <w:top w:val="single" w:color="D4D4D4" w:sz="4" w:space="0"/>
                          <w:left w:val="single" w:color="D4D4D4" w:sz="4" w:space="0"/>
                          <w:bottom w:val="single" w:color="D4D4D4" w:sz="4" w:space="0"/>
                          <w:right w:val="single" w:color="D4D4D4" w:sz="4" w:space="0"/>
                        </w:tcBorders>
                        <w:shd w:val="clear" w:color="auto" w:fill="auto"/>
                        <w:vAlign w:val="center"/>
                      </w:tcPr>
                      <w:p w14:paraId="361E5DAD">
                        <w:pPr>
                          <w:jc w:val="center"/>
                          <w:rPr>
                            <w:rFonts w:hint="eastAsia" w:ascii="Times New Roman" w:hAnsi="Times New Roman" w:eastAsia="仿宋_GB2312" w:cs="Times New Roman"/>
                            <w:color w:val="000000"/>
                            <w:sz w:val="22"/>
                          </w:rPr>
                        </w:pPr>
                      </w:p>
                    </w:tc>
                  </w:tr>
                  <w:tr w14:paraId="4691A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01" w:hRule="atLeast"/>
                    </w:trPr>
                    <w:tc>
                      <w:tcPr>
                        <w:tcW w:w="1801" w:type="dxa"/>
                        <w:tcBorders>
                          <w:top w:val="single" w:color="D4D4D4" w:sz="4" w:space="0"/>
                          <w:left w:val="single" w:color="D4D4D4" w:sz="4" w:space="0"/>
                          <w:bottom w:val="single" w:color="D4D4D4" w:sz="4" w:space="0"/>
                          <w:right w:val="single" w:color="D4D4D4" w:sz="4" w:space="0"/>
                        </w:tcBorders>
                        <w:shd w:val="clear" w:color="auto" w:fill="auto"/>
                        <w:vAlign w:val="center"/>
                      </w:tcPr>
                      <w:p w14:paraId="44CD2608">
                        <w:pPr>
                          <w:jc w:val="center"/>
                          <w:rPr>
                            <w:rFonts w:hint="eastAsia" w:ascii="Times New Roman" w:hAnsi="Times New Roman" w:eastAsia="仿宋_GB2312" w:cs="Times New Roman"/>
                            <w:color w:val="000000"/>
                            <w:sz w:val="22"/>
                          </w:rPr>
                        </w:pPr>
                      </w:p>
                    </w:tc>
                  </w:tr>
                  <w:tr w14:paraId="3E559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01" w:hRule="atLeast"/>
                    </w:trPr>
                    <w:tc>
                      <w:tcPr>
                        <w:tcW w:w="1801" w:type="dxa"/>
                        <w:tcBorders>
                          <w:top w:val="single" w:color="D4D4D4" w:sz="4" w:space="0"/>
                          <w:left w:val="single" w:color="D4D4D4" w:sz="4" w:space="0"/>
                          <w:bottom w:val="single" w:color="D4D4D4" w:sz="4" w:space="0"/>
                          <w:right w:val="single" w:color="D4D4D4" w:sz="4" w:space="0"/>
                        </w:tcBorders>
                        <w:shd w:val="clear" w:color="auto" w:fill="auto"/>
                        <w:vAlign w:val="center"/>
                      </w:tcPr>
                      <w:p w14:paraId="31245F3E">
                        <w:pPr>
                          <w:jc w:val="center"/>
                          <w:rPr>
                            <w:rFonts w:hint="eastAsia" w:ascii="Times New Roman" w:hAnsi="Times New Roman" w:eastAsia="仿宋_GB2312" w:cs="Times New Roman"/>
                            <w:color w:val="000000"/>
                            <w:sz w:val="22"/>
                          </w:rPr>
                        </w:pPr>
                      </w:p>
                    </w:tc>
                  </w:tr>
                  <w:tr w14:paraId="5950E8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01" w:hRule="atLeast"/>
                    </w:trPr>
                    <w:tc>
                      <w:tcPr>
                        <w:tcW w:w="1801" w:type="dxa"/>
                        <w:tcBorders>
                          <w:top w:val="single" w:color="D4D4D4" w:sz="4" w:space="0"/>
                          <w:left w:val="single" w:color="D4D4D4" w:sz="4" w:space="0"/>
                          <w:bottom w:val="single" w:color="D4D4D4" w:sz="4" w:space="0"/>
                          <w:right w:val="single" w:color="D4D4D4" w:sz="4" w:space="0"/>
                        </w:tcBorders>
                        <w:shd w:val="clear" w:color="auto" w:fill="auto"/>
                        <w:vAlign w:val="center"/>
                      </w:tcPr>
                      <w:p w14:paraId="37432B0D">
                        <w:pPr>
                          <w:jc w:val="center"/>
                          <w:rPr>
                            <w:rFonts w:hint="eastAsia" w:ascii="Times New Roman" w:hAnsi="Times New Roman" w:eastAsia="仿宋_GB2312" w:cs="Times New Roman"/>
                            <w:color w:val="000000"/>
                            <w:sz w:val="22"/>
                          </w:rPr>
                        </w:pPr>
                      </w:p>
                    </w:tc>
                  </w:tr>
                  <w:tr w14:paraId="6752B4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01" w:hRule="atLeast"/>
                    </w:trPr>
                    <w:tc>
                      <w:tcPr>
                        <w:tcW w:w="1801" w:type="dxa"/>
                        <w:tcBorders>
                          <w:top w:val="single" w:color="D4D4D4" w:sz="4" w:space="0"/>
                          <w:left w:val="single" w:color="D4D4D4" w:sz="4" w:space="0"/>
                          <w:bottom w:val="single" w:color="D4D4D4" w:sz="4" w:space="0"/>
                          <w:right w:val="single" w:color="D4D4D4" w:sz="4" w:space="0"/>
                        </w:tcBorders>
                        <w:shd w:val="clear" w:color="auto" w:fill="auto"/>
                        <w:vAlign w:val="center"/>
                      </w:tcPr>
                      <w:p w14:paraId="6E12A4B3">
                        <w:pPr>
                          <w:jc w:val="center"/>
                          <w:rPr>
                            <w:rFonts w:hint="eastAsia" w:ascii="Times New Roman" w:hAnsi="Times New Roman" w:eastAsia="仿宋_GB2312" w:cs="Times New Roman"/>
                            <w:color w:val="000000"/>
                            <w:sz w:val="22"/>
                          </w:rPr>
                        </w:pPr>
                      </w:p>
                    </w:tc>
                  </w:tr>
                  <w:tr w14:paraId="58955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01" w:hRule="atLeast"/>
                    </w:trPr>
                    <w:tc>
                      <w:tcPr>
                        <w:tcW w:w="1801" w:type="dxa"/>
                        <w:tcBorders>
                          <w:top w:val="single" w:color="D4D4D4" w:sz="4" w:space="0"/>
                          <w:left w:val="single" w:color="D4D4D4" w:sz="4" w:space="0"/>
                          <w:bottom w:val="single" w:color="D4D4D4" w:sz="4" w:space="0"/>
                          <w:right w:val="single" w:color="D4D4D4" w:sz="4" w:space="0"/>
                        </w:tcBorders>
                        <w:shd w:val="clear" w:color="auto" w:fill="auto"/>
                        <w:vAlign w:val="center"/>
                      </w:tcPr>
                      <w:p w14:paraId="512753D4">
                        <w:pPr>
                          <w:jc w:val="center"/>
                          <w:rPr>
                            <w:rFonts w:hint="eastAsia" w:ascii="Times New Roman" w:hAnsi="Times New Roman" w:eastAsia="仿宋_GB2312" w:cs="Times New Roman"/>
                            <w:color w:val="000000"/>
                            <w:sz w:val="22"/>
                          </w:rPr>
                        </w:pPr>
                      </w:p>
                    </w:tc>
                  </w:tr>
                  <w:tr w14:paraId="59A67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01" w:hRule="atLeast"/>
                    </w:trPr>
                    <w:tc>
                      <w:tcPr>
                        <w:tcW w:w="1801" w:type="dxa"/>
                        <w:tcBorders>
                          <w:top w:val="single" w:color="D4D4D4" w:sz="4" w:space="0"/>
                          <w:left w:val="single" w:color="D4D4D4" w:sz="4" w:space="0"/>
                          <w:bottom w:val="single" w:color="D4D4D4" w:sz="4" w:space="0"/>
                          <w:right w:val="single" w:color="D4D4D4" w:sz="4" w:space="0"/>
                        </w:tcBorders>
                        <w:shd w:val="clear" w:color="auto" w:fill="auto"/>
                        <w:vAlign w:val="center"/>
                      </w:tcPr>
                      <w:p w14:paraId="123FBD3F">
                        <w:pPr>
                          <w:jc w:val="center"/>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104.99</w:t>
                        </w:r>
                      </w:p>
                    </w:tc>
                  </w:tr>
                  <w:tr w14:paraId="7379FE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01" w:hRule="atLeast"/>
                    </w:trPr>
                    <w:tc>
                      <w:tcPr>
                        <w:tcW w:w="1801" w:type="dxa"/>
                        <w:tcBorders>
                          <w:top w:val="single" w:color="D4D4D4" w:sz="4" w:space="0"/>
                          <w:left w:val="single" w:color="D4D4D4" w:sz="4" w:space="0"/>
                          <w:bottom w:val="single" w:color="D4D4D4" w:sz="4" w:space="0"/>
                          <w:right w:val="single" w:color="D4D4D4" w:sz="4" w:space="0"/>
                        </w:tcBorders>
                        <w:shd w:val="clear" w:color="auto" w:fill="auto"/>
                        <w:vAlign w:val="center"/>
                      </w:tcPr>
                      <w:p w14:paraId="5C4F2AA2">
                        <w:pPr>
                          <w:jc w:val="center"/>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1,959.59</w:t>
                        </w:r>
                      </w:p>
                    </w:tc>
                  </w:tr>
                  <w:tr w14:paraId="3733E9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01" w:hRule="atLeast"/>
                    </w:trPr>
                    <w:tc>
                      <w:tcPr>
                        <w:tcW w:w="1801" w:type="dxa"/>
                        <w:tcBorders>
                          <w:top w:val="single" w:color="D4D4D4" w:sz="4" w:space="0"/>
                          <w:left w:val="single" w:color="D4D4D4" w:sz="4" w:space="0"/>
                          <w:bottom w:val="single" w:color="D4D4D4" w:sz="4" w:space="0"/>
                          <w:right w:val="single" w:color="D4D4D4" w:sz="4" w:space="0"/>
                        </w:tcBorders>
                        <w:shd w:val="clear" w:color="auto" w:fill="auto"/>
                        <w:vAlign w:val="center"/>
                      </w:tcPr>
                      <w:p w14:paraId="365542AE">
                        <w:pPr>
                          <w:jc w:val="center"/>
                          <w:rPr>
                            <w:rFonts w:hint="eastAsia" w:ascii="Times New Roman" w:hAnsi="Times New Roman" w:eastAsia="仿宋_GB2312" w:cs="Times New Roman"/>
                            <w:color w:val="000000"/>
                            <w:sz w:val="22"/>
                          </w:rPr>
                        </w:pPr>
                      </w:p>
                    </w:tc>
                  </w:tr>
                  <w:tr w14:paraId="47D641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01" w:hRule="atLeast"/>
                    </w:trPr>
                    <w:tc>
                      <w:tcPr>
                        <w:tcW w:w="1801" w:type="dxa"/>
                        <w:tcBorders>
                          <w:top w:val="single" w:color="D4D4D4" w:sz="4" w:space="0"/>
                          <w:left w:val="single" w:color="D4D4D4" w:sz="4" w:space="0"/>
                          <w:bottom w:val="single" w:color="D4D4D4" w:sz="4" w:space="0"/>
                          <w:right w:val="single" w:color="D4D4D4" w:sz="4" w:space="0"/>
                        </w:tcBorders>
                        <w:shd w:val="clear" w:color="auto" w:fill="auto"/>
                        <w:vAlign w:val="center"/>
                      </w:tcPr>
                      <w:p w14:paraId="0F60D143">
                        <w:pPr>
                          <w:jc w:val="center"/>
                          <w:rPr>
                            <w:rFonts w:hint="eastAsia" w:ascii="Times New Roman" w:hAnsi="Times New Roman" w:eastAsia="仿宋_GB2312" w:cs="Times New Roman"/>
                            <w:color w:val="000000"/>
                            <w:sz w:val="22"/>
                          </w:rPr>
                        </w:pPr>
                      </w:p>
                    </w:tc>
                  </w:tr>
                  <w:tr w14:paraId="75F152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01" w:hRule="atLeast"/>
                    </w:trPr>
                    <w:tc>
                      <w:tcPr>
                        <w:tcW w:w="1801" w:type="dxa"/>
                        <w:tcBorders>
                          <w:top w:val="single" w:color="D4D4D4" w:sz="4" w:space="0"/>
                          <w:left w:val="single" w:color="D4D4D4" w:sz="4" w:space="0"/>
                          <w:bottom w:val="single" w:color="D4D4D4" w:sz="4" w:space="0"/>
                          <w:right w:val="single" w:color="D4D4D4" w:sz="4" w:space="0"/>
                        </w:tcBorders>
                        <w:shd w:val="clear" w:color="auto" w:fill="auto"/>
                        <w:vAlign w:val="center"/>
                      </w:tcPr>
                      <w:p w14:paraId="1E53698C">
                        <w:pPr>
                          <w:jc w:val="center"/>
                          <w:rPr>
                            <w:rFonts w:hint="eastAsia" w:ascii="Times New Roman" w:hAnsi="Times New Roman" w:eastAsia="仿宋_GB2312" w:cs="Times New Roman"/>
                            <w:color w:val="000000"/>
                            <w:sz w:val="22"/>
                          </w:rPr>
                        </w:pPr>
                      </w:p>
                    </w:tc>
                  </w:tr>
                  <w:tr w14:paraId="2C5799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01" w:hRule="atLeast"/>
                    </w:trPr>
                    <w:tc>
                      <w:tcPr>
                        <w:tcW w:w="1801" w:type="dxa"/>
                        <w:tcBorders>
                          <w:top w:val="single" w:color="D4D4D4" w:sz="4" w:space="0"/>
                          <w:left w:val="single" w:color="D4D4D4" w:sz="4" w:space="0"/>
                          <w:bottom w:val="single" w:color="D4D4D4" w:sz="4" w:space="0"/>
                          <w:right w:val="single" w:color="D4D4D4" w:sz="4" w:space="0"/>
                        </w:tcBorders>
                        <w:shd w:val="clear" w:color="auto" w:fill="auto"/>
                        <w:vAlign w:val="center"/>
                      </w:tcPr>
                      <w:p w14:paraId="7ED2100E">
                        <w:pPr>
                          <w:jc w:val="center"/>
                          <w:rPr>
                            <w:rFonts w:hint="eastAsia" w:ascii="Times New Roman" w:hAnsi="Times New Roman" w:eastAsia="仿宋_GB2312" w:cs="Times New Roman"/>
                            <w:color w:val="000000"/>
                            <w:sz w:val="22"/>
                          </w:rPr>
                        </w:pPr>
                      </w:p>
                    </w:tc>
                  </w:tr>
                  <w:tr w14:paraId="35B504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01" w:hRule="atLeast"/>
                    </w:trPr>
                    <w:tc>
                      <w:tcPr>
                        <w:tcW w:w="1801" w:type="dxa"/>
                        <w:tcBorders>
                          <w:top w:val="single" w:color="D4D4D4" w:sz="4" w:space="0"/>
                          <w:left w:val="single" w:color="D4D4D4" w:sz="4" w:space="0"/>
                          <w:bottom w:val="single" w:color="D4D4D4" w:sz="4" w:space="0"/>
                          <w:right w:val="single" w:color="D4D4D4" w:sz="4" w:space="0"/>
                        </w:tcBorders>
                        <w:shd w:val="clear" w:color="auto" w:fill="auto"/>
                        <w:vAlign w:val="center"/>
                      </w:tcPr>
                      <w:p w14:paraId="04D8F0DA">
                        <w:pPr>
                          <w:jc w:val="center"/>
                          <w:rPr>
                            <w:rFonts w:hint="eastAsia" w:ascii="Times New Roman" w:hAnsi="Times New Roman" w:eastAsia="仿宋_GB2312" w:cs="Times New Roman"/>
                            <w:color w:val="000000"/>
                            <w:sz w:val="22"/>
                          </w:rPr>
                        </w:pPr>
                      </w:p>
                    </w:tc>
                  </w:tr>
                  <w:tr w14:paraId="02FDD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01" w:hRule="atLeast"/>
                    </w:trPr>
                    <w:tc>
                      <w:tcPr>
                        <w:tcW w:w="1801" w:type="dxa"/>
                        <w:tcBorders>
                          <w:top w:val="single" w:color="D4D4D4" w:sz="4" w:space="0"/>
                          <w:left w:val="single" w:color="D4D4D4" w:sz="4" w:space="0"/>
                          <w:bottom w:val="single" w:color="D4D4D4" w:sz="4" w:space="0"/>
                          <w:right w:val="single" w:color="D4D4D4" w:sz="4" w:space="0"/>
                        </w:tcBorders>
                        <w:shd w:val="clear" w:color="auto" w:fill="auto"/>
                        <w:vAlign w:val="center"/>
                      </w:tcPr>
                      <w:p w14:paraId="273655AC">
                        <w:pPr>
                          <w:jc w:val="center"/>
                          <w:rPr>
                            <w:rFonts w:hint="eastAsia" w:ascii="Times New Roman" w:hAnsi="Times New Roman" w:eastAsia="仿宋_GB2312" w:cs="Times New Roman"/>
                            <w:color w:val="000000"/>
                            <w:sz w:val="22"/>
                          </w:rPr>
                        </w:pPr>
                      </w:p>
                    </w:tc>
                  </w:tr>
                  <w:tr w14:paraId="59AB6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01" w:hRule="atLeast"/>
                    </w:trPr>
                    <w:tc>
                      <w:tcPr>
                        <w:tcW w:w="1801" w:type="dxa"/>
                        <w:tcBorders>
                          <w:top w:val="single" w:color="D4D4D4" w:sz="4" w:space="0"/>
                          <w:left w:val="single" w:color="D4D4D4" w:sz="4" w:space="0"/>
                          <w:bottom w:val="single" w:color="D4D4D4" w:sz="4" w:space="0"/>
                          <w:right w:val="single" w:color="D4D4D4" w:sz="4" w:space="0"/>
                        </w:tcBorders>
                        <w:shd w:val="clear" w:color="auto" w:fill="auto"/>
                        <w:vAlign w:val="center"/>
                      </w:tcPr>
                      <w:p w14:paraId="70DE6255">
                        <w:pPr>
                          <w:jc w:val="center"/>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104.99</w:t>
                        </w:r>
                      </w:p>
                    </w:tc>
                  </w:tr>
                </w:tbl>
                <w:p w14:paraId="50894989">
                  <w:pPr>
                    <w:jc w:val="center"/>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1,959.59</w:t>
                  </w:r>
                </w:p>
              </w:tc>
            </w:tr>
            <w:tr w14:paraId="6BBC24FA">
              <w:tblPrEx>
                <w:shd w:val="clear" w:color="auto" w:fill="auto"/>
                <w:tblCellMar>
                  <w:top w:w="0" w:type="dxa"/>
                  <w:left w:w="0" w:type="dxa"/>
                  <w:bottom w:w="0" w:type="dxa"/>
                  <w:right w:w="0" w:type="dxa"/>
                </w:tblCellMar>
              </w:tblPrEx>
              <w:trPr>
                <w:trHeight w:val="300" w:hRule="atLeast"/>
              </w:trPr>
              <w:tc>
                <w:tcPr>
                  <w:tcW w:w="10524" w:type="dxa"/>
                  <w:tcBorders>
                    <w:top w:val="single" w:color="D4D4D4" w:sz="4" w:space="0"/>
                    <w:left w:val="single" w:color="D4D4D4" w:sz="4" w:space="0"/>
                    <w:bottom w:val="single" w:color="D4D4D4" w:sz="4" w:space="0"/>
                    <w:right w:val="single" w:color="D4D4D4" w:sz="4" w:space="0"/>
                  </w:tcBorders>
                  <w:shd w:val="clear" w:color="000000" w:fill="D6F6EF"/>
                  <w:noWrap/>
                  <w:tcMar>
                    <w:top w:w="15" w:type="dxa"/>
                    <w:left w:w="15" w:type="dxa"/>
                    <w:right w:w="15" w:type="dxa"/>
                  </w:tcMar>
                  <w:vAlign w:val="center"/>
                </w:tcPr>
                <w:p w14:paraId="63227681">
                  <w:pPr>
                    <w:jc w:val="center"/>
                    <w:rPr>
                      <w:rFonts w:hint="eastAsia" w:ascii="Times New Roman" w:hAnsi="Times New Roman" w:eastAsia="仿宋_GB2312" w:cs="Times New Roman"/>
                      <w:color w:val="000000"/>
                      <w:sz w:val="22"/>
                    </w:rPr>
                  </w:pPr>
                </w:p>
              </w:tc>
            </w:tr>
            <w:tr w14:paraId="74C4DFA5">
              <w:tblPrEx>
                <w:shd w:val="clear" w:color="auto" w:fill="auto"/>
                <w:tblCellMar>
                  <w:top w:w="0" w:type="dxa"/>
                  <w:left w:w="0" w:type="dxa"/>
                  <w:bottom w:w="0" w:type="dxa"/>
                  <w:right w:w="0" w:type="dxa"/>
                </w:tblCellMar>
              </w:tblPrEx>
              <w:trPr>
                <w:trHeight w:val="300" w:hRule="atLeast"/>
              </w:trPr>
              <w:tc>
                <w:tcPr>
                  <w:tcW w:w="10524" w:type="dxa"/>
                  <w:tcBorders>
                    <w:top w:val="single" w:color="D4D4D4" w:sz="4" w:space="0"/>
                    <w:left w:val="single" w:color="D4D4D4" w:sz="4" w:space="0"/>
                    <w:bottom w:val="single" w:color="D4D4D4" w:sz="4" w:space="0"/>
                    <w:right w:val="single" w:color="D4D4D4" w:sz="4" w:space="0"/>
                  </w:tcBorders>
                  <w:shd w:val="clear" w:color="000000" w:fill="D6F6EF"/>
                  <w:noWrap/>
                  <w:tcMar>
                    <w:top w:w="15" w:type="dxa"/>
                    <w:left w:w="15" w:type="dxa"/>
                    <w:right w:w="15" w:type="dxa"/>
                  </w:tcMar>
                  <w:vAlign w:val="center"/>
                </w:tcPr>
                <w:p w14:paraId="116E437F">
                  <w:pPr>
                    <w:jc w:val="center"/>
                    <w:rPr>
                      <w:rFonts w:hint="eastAsia" w:ascii="Times New Roman" w:hAnsi="Times New Roman" w:eastAsia="仿宋_GB2312" w:cs="Times New Roman"/>
                      <w:color w:val="000000"/>
                      <w:sz w:val="22"/>
                    </w:rPr>
                  </w:pPr>
                </w:p>
              </w:tc>
            </w:tr>
            <w:tr w14:paraId="31E1F7EF">
              <w:tblPrEx>
                <w:shd w:val="clear" w:color="auto" w:fill="auto"/>
                <w:tblCellMar>
                  <w:top w:w="0" w:type="dxa"/>
                  <w:left w:w="0" w:type="dxa"/>
                  <w:bottom w:w="0" w:type="dxa"/>
                  <w:right w:w="0" w:type="dxa"/>
                </w:tblCellMar>
              </w:tblPrEx>
              <w:trPr>
                <w:trHeight w:val="300" w:hRule="atLeast"/>
              </w:trPr>
              <w:tc>
                <w:tcPr>
                  <w:tcW w:w="10524" w:type="dxa"/>
                  <w:tcBorders>
                    <w:top w:val="single" w:color="D4D4D4" w:sz="4" w:space="0"/>
                    <w:left w:val="single" w:color="D4D4D4" w:sz="4" w:space="0"/>
                    <w:bottom w:val="single" w:color="D4D4D4" w:sz="4" w:space="0"/>
                    <w:right w:val="single" w:color="D4D4D4" w:sz="4" w:space="0"/>
                  </w:tcBorders>
                  <w:shd w:val="clear" w:color="000000" w:fill="D6F6EF"/>
                  <w:noWrap/>
                  <w:tcMar>
                    <w:top w:w="15" w:type="dxa"/>
                    <w:left w:w="15" w:type="dxa"/>
                    <w:right w:w="15" w:type="dxa"/>
                  </w:tcMar>
                  <w:vAlign w:val="center"/>
                </w:tcPr>
                <w:p w14:paraId="5403B62E">
                  <w:pPr>
                    <w:jc w:val="center"/>
                    <w:rPr>
                      <w:rFonts w:hint="eastAsia" w:ascii="Times New Roman" w:hAnsi="Times New Roman" w:eastAsia="仿宋_GB2312" w:cs="Times New Roman"/>
                      <w:color w:val="000000"/>
                      <w:sz w:val="22"/>
                    </w:rPr>
                  </w:pPr>
                </w:p>
              </w:tc>
            </w:tr>
            <w:tr w14:paraId="2DD01D67">
              <w:tblPrEx>
                <w:shd w:val="clear" w:color="auto" w:fill="auto"/>
                <w:tblCellMar>
                  <w:top w:w="0" w:type="dxa"/>
                  <w:left w:w="0" w:type="dxa"/>
                  <w:bottom w:w="0" w:type="dxa"/>
                  <w:right w:w="0" w:type="dxa"/>
                </w:tblCellMar>
              </w:tblPrEx>
              <w:trPr>
                <w:trHeight w:val="300" w:hRule="atLeast"/>
              </w:trPr>
              <w:tc>
                <w:tcPr>
                  <w:tcW w:w="10524" w:type="dxa"/>
                  <w:tcBorders>
                    <w:top w:val="single" w:color="D4D4D4" w:sz="4" w:space="0"/>
                    <w:left w:val="single" w:color="D4D4D4" w:sz="4" w:space="0"/>
                    <w:bottom w:val="single" w:color="D4D4D4" w:sz="4" w:space="0"/>
                    <w:right w:val="single" w:color="D4D4D4" w:sz="4" w:space="0"/>
                  </w:tcBorders>
                  <w:shd w:val="clear" w:color="000000" w:fill="D6F6EF"/>
                  <w:noWrap/>
                  <w:tcMar>
                    <w:top w:w="15" w:type="dxa"/>
                    <w:left w:w="15" w:type="dxa"/>
                    <w:right w:w="15" w:type="dxa"/>
                  </w:tcMar>
                  <w:vAlign w:val="center"/>
                </w:tcPr>
                <w:p w14:paraId="5DDE97EA">
                  <w:pPr>
                    <w:jc w:val="center"/>
                    <w:rPr>
                      <w:rFonts w:hint="eastAsia" w:ascii="Times New Roman" w:hAnsi="Times New Roman" w:eastAsia="仿宋_GB2312" w:cs="Times New Roman"/>
                      <w:color w:val="000000"/>
                      <w:sz w:val="22"/>
                    </w:rPr>
                  </w:pPr>
                </w:p>
              </w:tc>
            </w:tr>
            <w:tr w14:paraId="22E02E7E">
              <w:tblPrEx>
                <w:shd w:val="clear" w:color="auto" w:fill="auto"/>
                <w:tblCellMar>
                  <w:top w:w="0" w:type="dxa"/>
                  <w:left w:w="0" w:type="dxa"/>
                  <w:bottom w:w="0" w:type="dxa"/>
                  <w:right w:w="0" w:type="dxa"/>
                </w:tblCellMar>
              </w:tblPrEx>
              <w:trPr>
                <w:trHeight w:val="300" w:hRule="atLeast"/>
              </w:trPr>
              <w:tc>
                <w:tcPr>
                  <w:tcW w:w="10524" w:type="dxa"/>
                  <w:tcBorders>
                    <w:top w:val="single" w:color="D4D4D4" w:sz="4" w:space="0"/>
                    <w:left w:val="single" w:color="D4D4D4" w:sz="4" w:space="0"/>
                    <w:bottom w:val="single" w:color="D4D4D4" w:sz="4" w:space="0"/>
                    <w:right w:val="single" w:color="D4D4D4" w:sz="4" w:space="0"/>
                  </w:tcBorders>
                  <w:shd w:val="clear" w:color="000000" w:fill="D6F6EF"/>
                  <w:noWrap/>
                  <w:tcMar>
                    <w:top w:w="15" w:type="dxa"/>
                    <w:left w:w="15" w:type="dxa"/>
                    <w:right w:w="15" w:type="dxa"/>
                  </w:tcMar>
                  <w:vAlign w:val="center"/>
                </w:tcPr>
                <w:p w14:paraId="51091B5A">
                  <w:pPr>
                    <w:jc w:val="center"/>
                    <w:rPr>
                      <w:rFonts w:hint="eastAsia" w:ascii="Times New Roman" w:hAnsi="Times New Roman" w:eastAsia="仿宋_GB2312" w:cs="Times New Roman"/>
                      <w:color w:val="000000"/>
                      <w:sz w:val="22"/>
                    </w:rPr>
                  </w:pPr>
                </w:p>
              </w:tc>
            </w:tr>
            <w:tr w14:paraId="39404ECA">
              <w:tblPrEx>
                <w:shd w:val="clear" w:color="auto" w:fill="auto"/>
                <w:tblCellMar>
                  <w:top w:w="0" w:type="dxa"/>
                  <w:left w:w="0" w:type="dxa"/>
                  <w:bottom w:w="0" w:type="dxa"/>
                  <w:right w:w="0" w:type="dxa"/>
                </w:tblCellMar>
              </w:tblPrEx>
              <w:trPr>
                <w:trHeight w:val="300" w:hRule="atLeast"/>
              </w:trPr>
              <w:tc>
                <w:tcPr>
                  <w:tcW w:w="10524" w:type="dxa"/>
                  <w:tcBorders>
                    <w:top w:val="single" w:color="D4D4D4" w:sz="4" w:space="0"/>
                    <w:left w:val="single" w:color="D4D4D4" w:sz="4" w:space="0"/>
                    <w:bottom w:val="single" w:color="D4D4D4" w:sz="4" w:space="0"/>
                    <w:right w:val="single" w:color="D4D4D4" w:sz="4" w:space="0"/>
                  </w:tcBorders>
                  <w:shd w:val="clear" w:color="000000" w:fill="D6F6EF"/>
                  <w:noWrap/>
                  <w:tcMar>
                    <w:top w:w="15" w:type="dxa"/>
                    <w:left w:w="15" w:type="dxa"/>
                    <w:right w:w="15" w:type="dxa"/>
                  </w:tcMar>
                  <w:vAlign w:val="center"/>
                </w:tcPr>
                <w:p w14:paraId="3A05C78C">
                  <w:pPr>
                    <w:jc w:val="center"/>
                    <w:rPr>
                      <w:rFonts w:hint="eastAsia" w:ascii="Times New Roman" w:hAnsi="Times New Roman" w:eastAsia="仿宋_GB2312" w:cs="Times New Roman"/>
                      <w:color w:val="000000"/>
                      <w:sz w:val="22"/>
                    </w:rPr>
                  </w:pPr>
                </w:p>
              </w:tc>
            </w:tr>
            <w:tr w14:paraId="61667ED0">
              <w:tblPrEx>
                <w:shd w:val="clear" w:color="auto" w:fill="auto"/>
                <w:tblCellMar>
                  <w:top w:w="0" w:type="dxa"/>
                  <w:left w:w="0" w:type="dxa"/>
                  <w:bottom w:w="0" w:type="dxa"/>
                  <w:right w:w="0" w:type="dxa"/>
                </w:tblCellMar>
              </w:tblPrEx>
              <w:trPr>
                <w:trHeight w:val="300" w:hRule="atLeast"/>
              </w:trPr>
              <w:tc>
                <w:tcPr>
                  <w:tcW w:w="10524" w:type="dxa"/>
                  <w:tcBorders>
                    <w:top w:val="single" w:color="D4D4D4" w:sz="4" w:space="0"/>
                    <w:left w:val="single" w:color="D4D4D4" w:sz="4" w:space="0"/>
                    <w:bottom w:val="single" w:color="D4D4D4" w:sz="4" w:space="0"/>
                    <w:right w:val="single" w:color="D4D4D4" w:sz="4" w:space="0"/>
                  </w:tcBorders>
                  <w:shd w:val="clear" w:color="000000" w:fill="D6F6EF"/>
                  <w:noWrap/>
                  <w:tcMar>
                    <w:top w:w="15" w:type="dxa"/>
                    <w:left w:w="15" w:type="dxa"/>
                    <w:right w:w="15" w:type="dxa"/>
                  </w:tcMar>
                  <w:vAlign w:val="center"/>
                </w:tcPr>
                <w:p w14:paraId="536C4FB0">
                  <w:pPr>
                    <w:jc w:val="center"/>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104.99</w:t>
                  </w:r>
                </w:p>
              </w:tc>
            </w:tr>
          </w:tbl>
          <w:p w14:paraId="18206F88">
            <w:pPr>
              <w:jc w:val="center"/>
              <w:rPr>
                <w:rFonts w:ascii="Times New Roman" w:hAnsi="Times New Roman" w:eastAsia="仿宋_GB2312" w:cs="Times New Roman"/>
                <w:color w:val="000000"/>
                <w:sz w:val="22"/>
              </w:rPr>
            </w:pPr>
          </w:p>
        </w:tc>
        <w:tc>
          <w:tcPr>
            <w:tcW w:w="2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69BE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6A1BA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355D7">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2064.57</w:t>
            </w:r>
          </w:p>
        </w:tc>
      </w:tr>
      <w:tr w14:paraId="6EA532D9">
        <w:tblPrEx>
          <w:tblCellMar>
            <w:top w:w="0" w:type="dxa"/>
            <w:left w:w="108" w:type="dxa"/>
            <w:bottom w:w="0" w:type="dxa"/>
            <w:right w:w="108" w:type="dxa"/>
          </w:tblCellMar>
        </w:tblPrEx>
        <w:trPr>
          <w:trHeight w:val="4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9BA5F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76A13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40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56A5B">
            <w:pPr>
              <w:jc w:val="center"/>
              <w:rPr>
                <w:rFonts w:ascii="Times New Roman" w:hAnsi="Times New Roman" w:eastAsia="仿宋_GB2312" w:cs="Times New Roman"/>
                <w:color w:val="000000"/>
                <w:sz w:val="22"/>
              </w:rPr>
            </w:pPr>
          </w:p>
        </w:tc>
        <w:tc>
          <w:tcPr>
            <w:tcW w:w="211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A061D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4ED25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D0D14">
            <w:pPr>
              <w:jc w:val="right"/>
              <w:rPr>
                <w:rFonts w:ascii="Times New Roman" w:hAnsi="Times New Roman" w:eastAsia="仿宋_GB2312" w:cs="Times New Roman"/>
                <w:color w:val="000000"/>
                <w:sz w:val="22"/>
              </w:rPr>
            </w:pPr>
          </w:p>
        </w:tc>
      </w:tr>
      <w:tr w14:paraId="4CB32617">
        <w:tblPrEx>
          <w:tblCellMar>
            <w:top w:w="0" w:type="dxa"/>
            <w:left w:w="108" w:type="dxa"/>
            <w:bottom w:w="0" w:type="dxa"/>
            <w:right w:w="108" w:type="dxa"/>
          </w:tblCellMar>
        </w:tblPrEx>
        <w:trPr>
          <w:trHeight w:val="41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CE4B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6EE43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DEA7B">
            <w:pPr>
              <w:jc w:val="center"/>
              <w:rPr>
                <w:rFonts w:ascii="Times New Roman" w:hAnsi="Times New Roman" w:eastAsia="仿宋_GB2312" w:cs="Times New Roman"/>
                <w:color w:val="000000"/>
                <w:sz w:val="22"/>
              </w:rPr>
            </w:pPr>
          </w:p>
        </w:tc>
        <w:tc>
          <w:tcPr>
            <w:tcW w:w="211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02D09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10878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DCA78">
            <w:pPr>
              <w:jc w:val="right"/>
              <w:rPr>
                <w:rFonts w:ascii="Times New Roman" w:hAnsi="Times New Roman" w:eastAsia="仿宋_GB2312" w:cs="Times New Roman"/>
                <w:color w:val="000000"/>
                <w:sz w:val="22"/>
              </w:rPr>
            </w:pPr>
          </w:p>
        </w:tc>
      </w:tr>
      <w:tr w14:paraId="6530643A">
        <w:tblPrEx>
          <w:tblCellMar>
            <w:top w:w="0" w:type="dxa"/>
            <w:left w:w="108" w:type="dxa"/>
            <w:bottom w:w="0" w:type="dxa"/>
            <w:right w:w="108" w:type="dxa"/>
          </w:tblCellMar>
        </w:tblPrEx>
        <w:trPr>
          <w:trHeight w:val="455"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6B1B7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B0423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0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E90E6">
            <w:pPr>
              <w:jc w:val="center"/>
              <w:rPr>
                <w:rFonts w:ascii="Times New Roman" w:hAnsi="Times New Roman" w:eastAsia="仿宋_GB2312" w:cs="Times New Roman"/>
                <w:color w:val="000000"/>
                <w:sz w:val="22"/>
              </w:rPr>
            </w:pPr>
          </w:p>
        </w:tc>
        <w:tc>
          <w:tcPr>
            <w:tcW w:w="211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65359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2115E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268ED">
            <w:pPr>
              <w:jc w:val="right"/>
              <w:rPr>
                <w:rFonts w:ascii="Times New Roman" w:hAnsi="Times New Roman" w:eastAsia="仿宋_GB2312" w:cs="Times New Roman"/>
                <w:color w:val="000000"/>
                <w:sz w:val="22"/>
              </w:rPr>
            </w:pPr>
          </w:p>
        </w:tc>
      </w:tr>
      <w:tr w14:paraId="21A1A4A4">
        <w:tblPrEx>
          <w:tblCellMar>
            <w:top w:w="0" w:type="dxa"/>
            <w:left w:w="108" w:type="dxa"/>
            <w:bottom w:w="0" w:type="dxa"/>
            <w:right w:w="108" w:type="dxa"/>
          </w:tblCellMar>
        </w:tblPrEx>
        <w:trPr>
          <w:trHeight w:val="425"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09988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F9596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0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9924B">
            <w:pPr>
              <w:jc w:val="center"/>
              <w:rPr>
                <w:rFonts w:ascii="Times New Roman" w:hAnsi="Times New Roman" w:eastAsia="仿宋_GB2312" w:cs="Times New Roman"/>
                <w:color w:val="000000"/>
                <w:sz w:val="22"/>
              </w:rPr>
            </w:pPr>
          </w:p>
        </w:tc>
        <w:tc>
          <w:tcPr>
            <w:tcW w:w="211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18C67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184A8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DDF06">
            <w:pPr>
              <w:jc w:val="right"/>
              <w:rPr>
                <w:rFonts w:ascii="Times New Roman" w:hAnsi="Times New Roman" w:eastAsia="仿宋_GB2312" w:cs="Times New Roman"/>
                <w:color w:val="000000"/>
                <w:sz w:val="22"/>
              </w:rPr>
            </w:pPr>
          </w:p>
        </w:tc>
      </w:tr>
      <w:tr w14:paraId="74CBE038">
        <w:tblPrEx>
          <w:tblCellMar>
            <w:top w:w="0" w:type="dxa"/>
            <w:left w:w="108" w:type="dxa"/>
            <w:bottom w:w="0" w:type="dxa"/>
            <w:right w:w="108" w:type="dxa"/>
          </w:tblCellMar>
        </w:tblPrEx>
        <w:trPr>
          <w:trHeight w:val="4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31431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27260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40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B5B8B">
            <w:pPr>
              <w:jc w:val="center"/>
              <w:rPr>
                <w:rFonts w:ascii="Times New Roman" w:hAnsi="Times New Roman" w:eastAsia="仿宋_GB2312" w:cs="Times New Roman"/>
                <w:color w:val="000000"/>
                <w:sz w:val="22"/>
              </w:rPr>
            </w:pPr>
          </w:p>
        </w:tc>
        <w:tc>
          <w:tcPr>
            <w:tcW w:w="211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7ABE1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3B0E7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6073B">
            <w:pPr>
              <w:jc w:val="right"/>
              <w:rPr>
                <w:rFonts w:ascii="Times New Roman" w:hAnsi="Times New Roman" w:eastAsia="仿宋_GB2312" w:cs="Times New Roman"/>
                <w:color w:val="000000"/>
                <w:sz w:val="22"/>
              </w:rPr>
            </w:pPr>
          </w:p>
        </w:tc>
      </w:tr>
      <w:tr w14:paraId="5D6F7251">
        <w:tblPrEx>
          <w:tblCellMar>
            <w:top w:w="0" w:type="dxa"/>
            <w:left w:w="108" w:type="dxa"/>
            <w:bottom w:w="0" w:type="dxa"/>
            <w:right w:w="108" w:type="dxa"/>
          </w:tblCellMar>
        </w:tblPrEx>
        <w:trPr>
          <w:trHeight w:val="38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090A1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32E35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AE459">
            <w:pPr>
              <w:jc w:val="center"/>
              <w:rPr>
                <w:rFonts w:ascii="Times New Roman" w:hAnsi="Times New Roman" w:eastAsia="仿宋_GB2312" w:cs="Times New Roman"/>
                <w:color w:val="000000"/>
                <w:sz w:val="22"/>
              </w:rPr>
            </w:pPr>
          </w:p>
        </w:tc>
        <w:tc>
          <w:tcPr>
            <w:tcW w:w="2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2D46B">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E0E98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F05D1">
            <w:pPr>
              <w:jc w:val="right"/>
              <w:rPr>
                <w:rFonts w:ascii="Times New Roman" w:hAnsi="Times New Roman" w:eastAsia="仿宋_GB2312" w:cs="Times New Roman"/>
                <w:color w:val="000000"/>
                <w:sz w:val="22"/>
              </w:rPr>
            </w:pPr>
          </w:p>
        </w:tc>
      </w:tr>
      <w:tr w14:paraId="10BF73EB">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1CF2F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1409D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8DCA8">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104.99</w:t>
            </w:r>
          </w:p>
        </w:tc>
        <w:tc>
          <w:tcPr>
            <w:tcW w:w="2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765D8">
            <w:pPr>
              <w:jc w:val="left"/>
              <w:rPr>
                <w:rFonts w:ascii="Times New Roman" w:hAnsi="Times New Roman" w:eastAsia="仿宋_GB2312" w:cs="Times New Roman"/>
                <w:color w:val="000000"/>
                <w:sz w:val="22"/>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27801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4A434">
            <w:pPr>
              <w:jc w:val="center"/>
              <w:rPr>
                <w:rFonts w:ascii="Times New Roman" w:hAnsi="Times New Roman" w:eastAsia="仿宋_GB2312" w:cs="Times New Roman"/>
                <w:color w:val="000000"/>
                <w:sz w:val="22"/>
              </w:rPr>
            </w:pPr>
          </w:p>
        </w:tc>
      </w:tr>
      <w:tr w14:paraId="4AD50C1A">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1830C">
            <w:pPr>
              <w:jc w:val="center"/>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356A6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A7954">
            <w:pPr>
              <w:jc w:val="center"/>
              <w:rPr>
                <w:rFonts w:ascii="Times New Roman" w:hAnsi="Times New Roman" w:eastAsia="仿宋_GB2312" w:cs="Times New Roman"/>
                <w:color w:val="000000"/>
                <w:sz w:val="22"/>
              </w:rPr>
            </w:pPr>
          </w:p>
        </w:tc>
        <w:tc>
          <w:tcPr>
            <w:tcW w:w="2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3ABA7">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B4514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1EB77">
            <w:pPr>
              <w:rPr>
                <w:rFonts w:ascii="Times New Roman" w:hAnsi="Times New Roman" w:eastAsia="仿宋_GB2312" w:cs="Times New Roman"/>
                <w:b/>
                <w:color w:val="000000"/>
                <w:sz w:val="22"/>
              </w:rPr>
            </w:pPr>
          </w:p>
        </w:tc>
      </w:tr>
      <w:tr w14:paraId="18583537">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27E64">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505C7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0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FD800">
            <w:pPr>
              <w:jc w:val="center"/>
              <w:rPr>
                <w:rFonts w:ascii="Times New Roman" w:hAnsi="Times New Roman" w:eastAsia="仿宋_GB2312" w:cs="Times New Roman"/>
                <w:color w:val="000000"/>
                <w:sz w:val="22"/>
              </w:rPr>
            </w:pPr>
          </w:p>
        </w:tc>
        <w:tc>
          <w:tcPr>
            <w:tcW w:w="2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24F65">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8F3A1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435DB">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2064.57</w:t>
            </w:r>
          </w:p>
        </w:tc>
      </w:tr>
      <w:tr w14:paraId="47839E2B">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4E82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使用非财政拨款结余（含专用结余）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2298F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0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4FF02">
            <w:pPr>
              <w:jc w:val="center"/>
              <w:rPr>
                <w:rFonts w:ascii="Times New Roman" w:hAnsi="Times New Roman" w:eastAsia="仿宋_GB2312" w:cs="Times New Roman"/>
                <w:color w:val="000000"/>
                <w:sz w:val="22"/>
              </w:rPr>
            </w:pPr>
          </w:p>
        </w:tc>
        <w:tc>
          <w:tcPr>
            <w:tcW w:w="2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6292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7BD1E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F1808">
            <w:pPr>
              <w:rPr>
                <w:rFonts w:ascii="Times New Roman" w:hAnsi="Times New Roman" w:eastAsia="仿宋_GB2312" w:cs="Times New Roman"/>
                <w:color w:val="000000"/>
                <w:sz w:val="22"/>
              </w:rPr>
            </w:pPr>
          </w:p>
        </w:tc>
      </w:tr>
      <w:tr w14:paraId="4E272A86">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4C8A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年初结转和结余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1D17B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40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13FC5">
            <w:pPr>
              <w:jc w:val="center"/>
              <w:rPr>
                <w:rFonts w:ascii="Times New Roman" w:hAnsi="Times New Roman" w:eastAsia="仿宋_GB2312" w:cs="Times New Roman"/>
                <w:color w:val="000000"/>
                <w:sz w:val="22"/>
              </w:rPr>
            </w:pPr>
          </w:p>
        </w:tc>
        <w:tc>
          <w:tcPr>
            <w:tcW w:w="2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F41D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82451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A4303">
            <w:pPr>
              <w:rPr>
                <w:rFonts w:ascii="Times New Roman" w:hAnsi="Times New Roman" w:eastAsia="仿宋_GB2312" w:cs="Times New Roman"/>
                <w:color w:val="000000"/>
                <w:sz w:val="22"/>
              </w:rPr>
            </w:pPr>
          </w:p>
        </w:tc>
      </w:tr>
      <w:tr w14:paraId="2903B790">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24EDE1">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36E0C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40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76C8A">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2064.57</w:t>
            </w:r>
          </w:p>
        </w:tc>
        <w:tc>
          <w:tcPr>
            <w:tcW w:w="211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FD659B">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48F6C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5B6D9">
            <w:pPr>
              <w:rPr>
                <w:rFonts w:ascii="Times New Roman" w:hAnsi="Times New Roman" w:eastAsia="仿宋_GB2312" w:cs="Times New Roman"/>
                <w:b/>
                <w:color w:val="000000"/>
                <w:sz w:val="22"/>
              </w:rPr>
            </w:pPr>
            <w:r>
              <w:rPr>
                <w:rFonts w:hint="eastAsia" w:ascii="Times New Roman" w:hAnsi="Times New Roman" w:eastAsia="仿宋_GB2312" w:cs="Times New Roman"/>
                <w:color w:val="000000"/>
                <w:sz w:val="22"/>
              </w:rPr>
              <w:t>2064.57</w:t>
            </w:r>
          </w:p>
        </w:tc>
      </w:tr>
    </w:tbl>
    <w:p w14:paraId="5C4ACE46">
      <w:pPr>
        <w:widowControl/>
        <w:jc w:val="left"/>
        <w:textAlignment w:val="center"/>
        <w:rPr>
          <w:rFonts w:hint="eastAsia" w:ascii="Times New Roman" w:hAnsi="Times New Roman" w:eastAsia="仿宋_GB2312" w:cs="Times New Roman"/>
          <w:color w:val="000000"/>
          <w:kern w:val="0"/>
          <w:sz w:val="24"/>
          <w:szCs w:val="24"/>
          <w:lang w:eastAsia="zh-CN" w:bidi="ar"/>
        </w:rPr>
      </w:pPr>
      <w:r>
        <w:rPr>
          <w:rFonts w:ascii="Times New Roman" w:hAnsi="Times New Roman" w:eastAsia="仿宋_GB2312" w:cs="Times New Roman"/>
          <w:color w:val="000000"/>
          <w:kern w:val="0"/>
          <w:sz w:val="24"/>
          <w:szCs w:val="24"/>
          <w:lang w:bidi="ar"/>
        </w:rPr>
        <w:t>注：1.本表反映部门本年度的总收支和年末结转结余情况。</w:t>
      </w:r>
    </w:p>
    <w:p w14:paraId="2C42B867">
      <w:pPr>
        <w:jc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451D8051">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2196D557">
      <w:pPr>
        <w:widowControl/>
        <w:spacing w:line="600" w:lineRule="exact"/>
        <w:ind w:firstLine="400" w:firstLineChars="200"/>
        <w:rPr>
          <w:rFonts w:hint="eastAsia" w:ascii="仿宋" w:hAnsi="仿宋" w:eastAsia="仿宋" w:cs="仿宋"/>
          <w:bCs/>
          <w:kern w:val="0"/>
          <w:sz w:val="24"/>
          <w:szCs w:val="24"/>
        </w:rPr>
      </w:pPr>
      <w:r>
        <w:rPr>
          <w:rFonts w:ascii="Times New Roman" w:hAnsi="Times New Roman" w:eastAsia="仿宋_GB2312" w:cs="Times New Roman"/>
          <w:color w:val="000000"/>
          <w:sz w:val="20"/>
          <w:szCs w:val="20"/>
        </w:rPr>
        <w:t>部门：</w:t>
      </w:r>
      <w:r>
        <w:rPr>
          <w:rFonts w:hint="eastAsia" w:ascii="仿宋" w:hAnsi="仿宋" w:eastAsia="仿宋" w:cs="仿宋"/>
          <w:bCs/>
          <w:kern w:val="0"/>
          <w:sz w:val="22"/>
          <w:szCs w:val="22"/>
          <w:lang w:eastAsia="zh-CN"/>
        </w:rPr>
        <w:t>蓝山县数据局（蓝山县</w:t>
      </w:r>
      <w:r>
        <w:rPr>
          <w:rFonts w:hint="eastAsia" w:ascii="仿宋" w:hAnsi="仿宋" w:eastAsia="仿宋" w:cs="仿宋"/>
          <w:bCs/>
          <w:kern w:val="0"/>
          <w:sz w:val="22"/>
          <w:szCs w:val="22"/>
          <w:lang w:val="en-US" w:eastAsia="zh-CN"/>
        </w:rPr>
        <w:t>行政审批服务局</w:t>
      </w:r>
      <w:r>
        <w:rPr>
          <w:rFonts w:hint="eastAsia" w:ascii="仿宋" w:hAnsi="仿宋" w:eastAsia="仿宋" w:cs="仿宋"/>
          <w:bCs/>
          <w:kern w:val="0"/>
          <w:sz w:val="22"/>
          <w:szCs w:val="22"/>
          <w:lang w:eastAsia="zh-CN"/>
        </w:rPr>
        <w:t>）</w:t>
      </w:r>
    </w:p>
    <w:p w14:paraId="42016917">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9"/>
        <w:tblW w:w="14666" w:type="dxa"/>
        <w:jc w:val="center"/>
        <w:tblLayout w:type="fixed"/>
        <w:tblCellMar>
          <w:top w:w="0" w:type="dxa"/>
          <w:left w:w="0" w:type="dxa"/>
          <w:bottom w:w="0" w:type="dxa"/>
          <w:right w:w="0" w:type="dxa"/>
        </w:tblCellMar>
      </w:tblPr>
      <w:tblGrid>
        <w:gridCol w:w="1886"/>
        <w:gridCol w:w="1300"/>
        <w:gridCol w:w="1640"/>
        <w:gridCol w:w="1640"/>
        <w:gridCol w:w="1640"/>
        <w:gridCol w:w="1640"/>
        <w:gridCol w:w="1640"/>
        <w:gridCol w:w="1897"/>
        <w:gridCol w:w="1383"/>
      </w:tblGrid>
      <w:tr w14:paraId="07D86BBC">
        <w:tblPrEx>
          <w:tblCellMar>
            <w:top w:w="0" w:type="dxa"/>
            <w:left w:w="0" w:type="dxa"/>
            <w:bottom w:w="0" w:type="dxa"/>
            <w:right w:w="0" w:type="dxa"/>
          </w:tblCellMar>
        </w:tblPrEx>
        <w:trPr>
          <w:trHeight w:val="396"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51EF58C">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E3FECAC">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E05743D">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D4C88E7">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A4549FA">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B0AE53B">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A91705C">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454A99B">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3A3A96DC">
        <w:tblPrEx>
          <w:tblCellMar>
            <w:top w:w="0" w:type="dxa"/>
            <w:left w:w="0" w:type="dxa"/>
            <w:bottom w:w="0" w:type="dxa"/>
            <w:right w:w="0" w:type="dxa"/>
          </w:tblCellMar>
        </w:tblPrEx>
        <w:trPr>
          <w:trHeight w:val="396" w:hRule="atLeas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467535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3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0893F7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932604C">
            <w:pPr>
              <w:jc w:val="cente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C69F8B2">
            <w:pPr>
              <w:jc w:val="cente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5013794">
            <w:pPr>
              <w:jc w:val="cente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7A38D98">
            <w:pPr>
              <w:jc w:val="cente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08F7020">
            <w:pPr>
              <w:jc w:val="cente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36319A18">
            <w:pPr>
              <w:jc w:val="cente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2A005FDE">
            <w:pPr>
              <w:jc w:val="center"/>
              <w:rPr>
                <w:rFonts w:ascii="Times New Roman" w:hAnsi="Times New Roman" w:eastAsia="仿宋_GB2312" w:cs="Times New Roman"/>
                <w:sz w:val="24"/>
                <w:szCs w:val="24"/>
              </w:rPr>
            </w:pPr>
          </w:p>
        </w:tc>
      </w:tr>
      <w:tr w14:paraId="260B9063">
        <w:tblPrEx>
          <w:tblCellMar>
            <w:top w:w="0" w:type="dxa"/>
            <w:left w:w="0" w:type="dxa"/>
            <w:bottom w:w="0" w:type="dxa"/>
            <w:right w:w="0" w:type="dxa"/>
          </w:tblCellMar>
        </w:tblPrEx>
        <w:trPr>
          <w:trHeight w:val="396"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14:paraId="4B865B96">
            <w:pPr>
              <w:jc w:val="center"/>
              <w:rPr>
                <w:rFonts w:ascii="Times New Roman" w:hAnsi="Times New Roman" w:eastAsia="仿宋_GB2312" w:cs="Times New Roman"/>
                <w:sz w:val="24"/>
                <w:szCs w:val="24"/>
              </w:rPr>
            </w:pPr>
          </w:p>
        </w:tc>
        <w:tc>
          <w:tcPr>
            <w:tcW w:w="1300" w:type="dxa"/>
            <w:vMerge w:val="continue"/>
            <w:tcBorders>
              <w:top w:val="nil"/>
              <w:left w:val="single" w:color="auto" w:sz="4" w:space="0"/>
              <w:bottom w:val="single" w:color="auto" w:sz="4" w:space="0"/>
              <w:right w:val="single" w:color="auto" w:sz="4" w:space="0"/>
            </w:tcBorders>
            <w:vAlign w:val="center"/>
          </w:tcPr>
          <w:p w14:paraId="4C8B5903">
            <w:pPr>
              <w:jc w:val="cente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B0C61D7">
            <w:pPr>
              <w:jc w:val="cente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FEF3248">
            <w:pPr>
              <w:jc w:val="cente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37BAE99">
            <w:pPr>
              <w:jc w:val="cente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FF53738">
            <w:pPr>
              <w:jc w:val="cente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5315FD5">
            <w:pPr>
              <w:jc w:val="cente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232EA124">
            <w:pPr>
              <w:jc w:val="cente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43DB56AD">
            <w:pPr>
              <w:jc w:val="center"/>
              <w:rPr>
                <w:rFonts w:ascii="Times New Roman" w:hAnsi="Times New Roman" w:eastAsia="仿宋_GB2312" w:cs="Times New Roman"/>
                <w:sz w:val="24"/>
                <w:szCs w:val="24"/>
              </w:rPr>
            </w:pPr>
          </w:p>
        </w:tc>
      </w:tr>
      <w:tr w14:paraId="731D2683">
        <w:tblPrEx>
          <w:tblCellMar>
            <w:top w:w="0" w:type="dxa"/>
            <w:left w:w="0" w:type="dxa"/>
            <w:bottom w:w="0" w:type="dxa"/>
            <w:right w:w="0" w:type="dxa"/>
          </w:tblCellMar>
        </w:tblPrEx>
        <w:trPr>
          <w:trHeight w:val="396"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1A6412B">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0C67099">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7F5AF92">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BAE1C2F">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342EC59">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4A56F24">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2F0933E">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FC3E00D">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57093283">
        <w:tblPrEx>
          <w:tblCellMar>
            <w:top w:w="0" w:type="dxa"/>
            <w:left w:w="0" w:type="dxa"/>
            <w:bottom w:w="0" w:type="dxa"/>
            <w:right w:w="0" w:type="dxa"/>
          </w:tblCellMar>
        </w:tblPrEx>
        <w:trPr>
          <w:trHeight w:val="396"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86A51E5">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FFA63B">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2,064.57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D56D12">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1,959.59</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F8C167">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035F5C">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B707DE">
            <w:pPr>
              <w:jc w:val="center"/>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439BFD">
            <w:pPr>
              <w:jc w:val="center"/>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E890CA">
            <w:pPr>
              <w:jc w:val="center"/>
              <w:rPr>
                <w:rFonts w:ascii="Times New Roman" w:hAnsi="Times New Roman" w:eastAsia="仿宋_GB2312" w:cs="Times New Roman"/>
                <w:sz w:val="24"/>
                <w:szCs w:val="24"/>
              </w:rPr>
            </w:pPr>
          </w:p>
        </w:tc>
      </w:tr>
      <w:tr w14:paraId="5221EABB">
        <w:tblPrEx>
          <w:tblCellMar>
            <w:top w:w="0" w:type="dxa"/>
            <w:left w:w="0" w:type="dxa"/>
            <w:bottom w:w="0" w:type="dxa"/>
            <w:right w:w="0" w:type="dxa"/>
          </w:tblCellMar>
        </w:tblPrEx>
        <w:trPr>
          <w:trHeight w:val="396"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A2C8106">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201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3EF78B4">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一般公共服务支出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D5E7EB">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2,064.57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293D1F">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1,959.59</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6DB063">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EC5454">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A561E9">
            <w:pPr>
              <w:jc w:val="center"/>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65B9CF">
            <w:pPr>
              <w:jc w:val="center"/>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FA141A">
            <w:pPr>
              <w:jc w:val="center"/>
              <w:rPr>
                <w:rFonts w:ascii="Times New Roman" w:hAnsi="Times New Roman" w:eastAsia="仿宋_GB2312" w:cs="Times New Roman"/>
                <w:sz w:val="24"/>
                <w:szCs w:val="24"/>
              </w:rPr>
            </w:pPr>
          </w:p>
        </w:tc>
      </w:tr>
      <w:tr w14:paraId="7149C73A">
        <w:tblPrEx>
          <w:tblCellMar>
            <w:top w:w="0" w:type="dxa"/>
            <w:left w:w="0" w:type="dxa"/>
            <w:bottom w:w="0" w:type="dxa"/>
            <w:right w:w="0" w:type="dxa"/>
          </w:tblCellMar>
        </w:tblPrEx>
        <w:trPr>
          <w:trHeight w:val="396"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99FD79E">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20141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BCF2D39">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数据事务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B063C5">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2,064.57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450005">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1,959.59</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CADE48">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F29C49">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EB1B35">
            <w:pPr>
              <w:jc w:val="center"/>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082015">
            <w:pPr>
              <w:jc w:val="center"/>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AC4ADF">
            <w:pPr>
              <w:jc w:val="center"/>
              <w:rPr>
                <w:rFonts w:ascii="Times New Roman" w:hAnsi="Times New Roman" w:eastAsia="仿宋_GB2312" w:cs="Times New Roman"/>
                <w:sz w:val="24"/>
                <w:szCs w:val="24"/>
              </w:rPr>
            </w:pPr>
          </w:p>
        </w:tc>
      </w:tr>
      <w:tr w14:paraId="53C2EEFD">
        <w:tblPrEx>
          <w:tblCellMar>
            <w:top w:w="0" w:type="dxa"/>
            <w:left w:w="0" w:type="dxa"/>
            <w:bottom w:w="0" w:type="dxa"/>
            <w:right w:w="0" w:type="dxa"/>
          </w:tblCellMar>
        </w:tblPrEx>
        <w:trPr>
          <w:trHeight w:val="396"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40C30E7">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2014101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17B536E">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行政运行</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18D2C8">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870.20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A1B062">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765.21</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D7B530">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8F5241">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E42810">
            <w:pPr>
              <w:jc w:val="center"/>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39F948">
            <w:pPr>
              <w:jc w:val="center"/>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C1FA5C">
            <w:pPr>
              <w:jc w:val="center"/>
              <w:rPr>
                <w:rFonts w:ascii="Times New Roman" w:hAnsi="Times New Roman" w:eastAsia="仿宋_GB2312" w:cs="Times New Roman"/>
                <w:sz w:val="24"/>
                <w:szCs w:val="24"/>
              </w:rPr>
            </w:pPr>
          </w:p>
        </w:tc>
      </w:tr>
      <w:tr w14:paraId="6B4415BF">
        <w:tblPrEx>
          <w:tblCellMar>
            <w:top w:w="0" w:type="dxa"/>
            <w:left w:w="0" w:type="dxa"/>
            <w:bottom w:w="0" w:type="dxa"/>
            <w:right w:w="0" w:type="dxa"/>
          </w:tblCellMar>
        </w:tblPrEx>
        <w:trPr>
          <w:trHeight w:val="396"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EAA704E">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2014199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6DA5539">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其他数据事务支出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C62AAC">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1,194.37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573DD2">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1,194.37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79E9FD">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1890D7">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25C849">
            <w:pPr>
              <w:jc w:val="center"/>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B0BAE3">
            <w:pPr>
              <w:jc w:val="center"/>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06837B">
            <w:pPr>
              <w:jc w:val="center"/>
              <w:rPr>
                <w:rFonts w:ascii="Times New Roman" w:hAnsi="Times New Roman" w:eastAsia="仿宋_GB2312" w:cs="Times New Roman"/>
                <w:sz w:val="24"/>
                <w:szCs w:val="24"/>
              </w:rPr>
            </w:pPr>
          </w:p>
        </w:tc>
      </w:tr>
      <w:tr w14:paraId="5C01516A">
        <w:tblPrEx>
          <w:tblCellMar>
            <w:top w:w="0" w:type="dxa"/>
            <w:left w:w="0" w:type="dxa"/>
            <w:bottom w:w="0" w:type="dxa"/>
            <w:right w:w="0" w:type="dxa"/>
          </w:tblCellMar>
        </w:tblPrEx>
        <w:trPr>
          <w:trHeight w:val="396"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7939D33">
            <w:pPr>
              <w:jc w:val="center"/>
              <w:rPr>
                <w:rFonts w:ascii="Times New Roman" w:hAnsi="Times New Roman" w:eastAsia="仿宋_GB2312" w:cs="Times New Roman"/>
                <w:sz w:val="24"/>
                <w:szCs w:val="24"/>
              </w:rPr>
            </w:pP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715FF55">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053ACB">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DECDBF">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541B01">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D38ABA">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3F31F1">
            <w:pPr>
              <w:jc w:val="center"/>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FCEAC6">
            <w:pPr>
              <w:jc w:val="center"/>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1C5D06">
            <w:pPr>
              <w:jc w:val="center"/>
              <w:rPr>
                <w:rFonts w:ascii="Times New Roman" w:hAnsi="Times New Roman" w:eastAsia="仿宋_GB2312" w:cs="Times New Roman"/>
                <w:sz w:val="24"/>
                <w:szCs w:val="24"/>
              </w:rPr>
            </w:pPr>
          </w:p>
        </w:tc>
      </w:tr>
      <w:tr w14:paraId="1E84E558">
        <w:tblPrEx>
          <w:tblCellMar>
            <w:top w:w="0" w:type="dxa"/>
            <w:left w:w="0" w:type="dxa"/>
            <w:bottom w:w="0" w:type="dxa"/>
            <w:right w:w="0" w:type="dxa"/>
          </w:tblCellMar>
        </w:tblPrEx>
        <w:trPr>
          <w:trHeight w:val="396"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F7F37F0">
            <w:pPr>
              <w:jc w:val="center"/>
              <w:rPr>
                <w:rFonts w:ascii="Times New Roman" w:hAnsi="Times New Roman" w:eastAsia="仿宋_GB2312" w:cs="Times New Roman"/>
                <w:sz w:val="24"/>
                <w:szCs w:val="24"/>
              </w:rPr>
            </w:pP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A32BC9C">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BF28A1">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F722EA">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B11E28">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130130">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B6519C">
            <w:pPr>
              <w:jc w:val="center"/>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06A31C">
            <w:pPr>
              <w:jc w:val="center"/>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AE9C44">
            <w:pPr>
              <w:jc w:val="center"/>
              <w:rPr>
                <w:rFonts w:ascii="Times New Roman" w:hAnsi="Times New Roman" w:eastAsia="仿宋_GB2312" w:cs="Times New Roman"/>
                <w:sz w:val="24"/>
                <w:szCs w:val="24"/>
              </w:rPr>
            </w:pPr>
          </w:p>
        </w:tc>
      </w:tr>
    </w:tbl>
    <w:p w14:paraId="068BB159">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395776D6">
      <w:pPr>
        <w:widowControl/>
        <w:jc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4D6541A9">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637A20A9">
      <w:pPr>
        <w:widowControl/>
        <w:spacing w:line="600" w:lineRule="exact"/>
        <w:ind w:firstLine="400" w:firstLineChars="200"/>
        <w:rPr>
          <w:rFonts w:hint="eastAsia" w:ascii="仿宋" w:hAnsi="仿宋" w:eastAsia="仿宋" w:cs="仿宋"/>
          <w:bCs/>
          <w:kern w:val="0"/>
          <w:sz w:val="24"/>
          <w:szCs w:val="24"/>
        </w:rPr>
      </w:pPr>
      <w:r>
        <w:rPr>
          <w:rFonts w:ascii="Times New Roman" w:hAnsi="Times New Roman" w:eastAsia="仿宋_GB2312" w:cs="Times New Roman"/>
          <w:color w:val="000000"/>
          <w:kern w:val="0"/>
          <w:sz w:val="20"/>
          <w:szCs w:val="20"/>
        </w:rPr>
        <w:t>部门：</w:t>
      </w:r>
      <w:r>
        <w:rPr>
          <w:rFonts w:hint="eastAsia" w:ascii="仿宋" w:hAnsi="仿宋" w:eastAsia="仿宋" w:cs="仿宋"/>
          <w:bCs/>
          <w:kern w:val="0"/>
          <w:sz w:val="22"/>
          <w:szCs w:val="22"/>
          <w:lang w:eastAsia="zh-CN"/>
        </w:rPr>
        <w:t>蓝山县数据局（蓝山县</w:t>
      </w:r>
      <w:r>
        <w:rPr>
          <w:rFonts w:hint="eastAsia" w:ascii="仿宋" w:hAnsi="仿宋" w:eastAsia="仿宋" w:cs="仿宋"/>
          <w:bCs/>
          <w:kern w:val="0"/>
          <w:sz w:val="22"/>
          <w:szCs w:val="22"/>
          <w:lang w:val="en-US" w:eastAsia="zh-CN"/>
        </w:rPr>
        <w:t>行政审批服务局</w:t>
      </w:r>
      <w:r>
        <w:rPr>
          <w:rFonts w:hint="eastAsia" w:ascii="仿宋" w:hAnsi="仿宋" w:eastAsia="仿宋" w:cs="仿宋"/>
          <w:bCs/>
          <w:kern w:val="0"/>
          <w:sz w:val="22"/>
          <w:szCs w:val="22"/>
          <w:lang w:eastAsia="zh-CN"/>
        </w:rPr>
        <w:t>）</w:t>
      </w:r>
    </w:p>
    <w:p w14:paraId="493378A5">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9"/>
        <w:tblW w:w="14214" w:type="dxa"/>
        <w:jc w:val="center"/>
        <w:tblLayout w:type="fixed"/>
        <w:tblCellMar>
          <w:top w:w="0" w:type="dxa"/>
          <w:left w:w="108" w:type="dxa"/>
          <w:bottom w:w="0" w:type="dxa"/>
          <w:right w:w="108" w:type="dxa"/>
        </w:tblCellMar>
      </w:tblPr>
      <w:tblGrid>
        <w:gridCol w:w="2424"/>
        <w:gridCol w:w="1337"/>
        <w:gridCol w:w="1877"/>
        <w:gridCol w:w="1334"/>
        <w:gridCol w:w="1334"/>
        <w:gridCol w:w="1877"/>
        <w:gridCol w:w="1334"/>
        <w:gridCol w:w="2697"/>
      </w:tblGrid>
      <w:tr w14:paraId="4BD2E0B5">
        <w:tblPrEx>
          <w:tblCellMar>
            <w:top w:w="0" w:type="dxa"/>
            <w:left w:w="108" w:type="dxa"/>
            <w:bottom w:w="0" w:type="dxa"/>
            <w:right w:w="108" w:type="dxa"/>
          </w:tblCellMar>
        </w:tblPrEx>
        <w:trPr>
          <w:trHeight w:val="595" w:hRule="atLeast"/>
          <w:jc w:val="center"/>
        </w:trPr>
        <w:tc>
          <w:tcPr>
            <w:tcW w:w="3761"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3F6D831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187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A9CB5FE">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133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364A457">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133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440FBF1">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187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554F57A">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133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D733886">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269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9B57EA4">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19E132CA">
        <w:tblPrEx>
          <w:tblCellMar>
            <w:top w:w="0" w:type="dxa"/>
            <w:left w:w="108" w:type="dxa"/>
            <w:bottom w:w="0" w:type="dxa"/>
            <w:right w:w="108" w:type="dxa"/>
          </w:tblCellMar>
        </w:tblPrEx>
        <w:trPr>
          <w:trHeight w:val="312" w:hRule="exact"/>
          <w:jc w:val="center"/>
        </w:trPr>
        <w:tc>
          <w:tcPr>
            <w:tcW w:w="242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81387F2">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337" w:type="dxa"/>
            <w:vMerge w:val="restart"/>
            <w:tcBorders>
              <w:top w:val="nil"/>
              <w:left w:val="single" w:color="auto" w:sz="4" w:space="0"/>
              <w:bottom w:val="single" w:color="auto" w:sz="4" w:space="0"/>
              <w:right w:val="single" w:color="auto" w:sz="4" w:space="0"/>
            </w:tcBorders>
            <w:shd w:val="clear" w:color="000000" w:fill="FFFFFF"/>
            <w:vAlign w:val="center"/>
          </w:tcPr>
          <w:p w14:paraId="2360C24F">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1877" w:type="dxa"/>
            <w:vMerge w:val="continue"/>
            <w:tcBorders>
              <w:top w:val="single" w:color="auto" w:sz="4" w:space="0"/>
              <w:left w:val="single" w:color="auto" w:sz="4" w:space="0"/>
              <w:bottom w:val="single" w:color="auto" w:sz="4" w:space="0"/>
              <w:right w:val="single" w:color="auto" w:sz="4" w:space="0"/>
            </w:tcBorders>
            <w:vAlign w:val="center"/>
          </w:tcPr>
          <w:p w14:paraId="430F5826">
            <w:pPr>
              <w:widowControl/>
              <w:jc w:val="left"/>
              <w:rPr>
                <w:rFonts w:ascii="Times New Roman" w:hAnsi="Times New Roman" w:eastAsia="仿宋_GB2312" w:cs="Times New Roman"/>
                <w:b/>
                <w:bCs/>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47589233">
            <w:pPr>
              <w:widowControl/>
              <w:jc w:val="left"/>
              <w:rPr>
                <w:rFonts w:ascii="Times New Roman" w:hAnsi="Times New Roman" w:eastAsia="仿宋_GB2312" w:cs="Times New Roman"/>
                <w:b/>
                <w:bCs/>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5F6E42EF">
            <w:pPr>
              <w:widowControl/>
              <w:jc w:val="left"/>
              <w:rPr>
                <w:rFonts w:ascii="Times New Roman" w:hAnsi="Times New Roman" w:eastAsia="仿宋_GB2312" w:cs="Times New Roman"/>
                <w:b/>
                <w:bCs/>
                <w:kern w:val="0"/>
                <w:sz w:val="24"/>
                <w:szCs w:val="24"/>
              </w:rPr>
            </w:pPr>
          </w:p>
        </w:tc>
        <w:tc>
          <w:tcPr>
            <w:tcW w:w="1877" w:type="dxa"/>
            <w:vMerge w:val="continue"/>
            <w:tcBorders>
              <w:top w:val="single" w:color="auto" w:sz="4" w:space="0"/>
              <w:left w:val="single" w:color="auto" w:sz="4" w:space="0"/>
              <w:bottom w:val="single" w:color="auto" w:sz="4" w:space="0"/>
              <w:right w:val="single" w:color="auto" w:sz="4" w:space="0"/>
            </w:tcBorders>
            <w:vAlign w:val="center"/>
          </w:tcPr>
          <w:p w14:paraId="3EF5FEC3">
            <w:pPr>
              <w:widowControl/>
              <w:jc w:val="left"/>
              <w:rPr>
                <w:rFonts w:ascii="Times New Roman" w:hAnsi="Times New Roman" w:eastAsia="仿宋_GB2312" w:cs="Times New Roman"/>
                <w:b/>
                <w:bCs/>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06FE7AB2">
            <w:pPr>
              <w:widowControl/>
              <w:jc w:val="left"/>
              <w:rPr>
                <w:rFonts w:ascii="Times New Roman" w:hAnsi="Times New Roman" w:eastAsia="仿宋_GB2312" w:cs="Times New Roman"/>
                <w:b/>
                <w:bCs/>
                <w:kern w:val="0"/>
                <w:sz w:val="24"/>
                <w:szCs w:val="24"/>
              </w:rPr>
            </w:pPr>
          </w:p>
        </w:tc>
        <w:tc>
          <w:tcPr>
            <w:tcW w:w="2697" w:type="dxa"/>
            <w:vMerge w:val="continue"/>
            <w:tcBorders>
              <w:top w:val="single" w:color="auto" w:sz="4" w:space="0"/>
              <w:left w:val="single" w:color="auto" w:sz="4" w:space="0"/>
              <w:bottom w:val="single" w:color="auto" w:sz="4" w:space="0"/>
              <w:right w:val="single" w:color="auto" w:sz="4" w:space="0"/>
            </w:tcBorders>
            <w:vAlign w:val="center"/>
          </w:tcPr>
          <w:p w14:paraId="345EA5B1">
            <w:pPr>
              <w:widowControl/>
              <w:jc w:val="left"/>
              <w:rPr>
                <w:rFonts w:ascii="Times New Roman" w:hAnsi="Times New Roman" w:eastAsia="仿宋_GB2312" w:cs="Times New Roman"/>
                <w:b/>
                <w:bCs/>
                <w:kern w:val="0"/>
                <w:sz w:val="24"/>
                <w:szCs w:val="24"/>
              </w:rPr>
            </w:pPr>
          </w:p>
        </w:tc>
      </w:tr>
      <w:tr w14:paraId="52E9B62C">
        <w:tblPrEx>
          <w:tblCellMar>
            <w:top w:w="0" w:type="dxa"/>
            <w:left w:w="108" w:type="dxa"/>
            <w:bottom w:w="0" w:type="dxa"/>
            <w:right w:w="108" w:type="dxa"/>
          </w:tblCellMar>
        </w:tblPrEx>
        <w:trPr>
          <w:trHeight w:val="595" w:hRule="atLeast"/>
          <w:jc w:val="center"/>
        </w:trPr>
        <w:tc>
          <w:tcPr>
            <w:tcW w:w="2424" w:type="dxa"/>
            <w:vMerge w:val="continue"/>
            <w:tcBorders>
              <w:top w:val="single" w:color="auto" w:sz="4" w:space="0"/>
              <w:left w:val="single" w:color="auto" w:sz="4" w:space="0"/>
              <w:bottom w:val="single" w:color="auto" w:sz="4" w:space="0"/>
              <w:right w:val="single" w:color="auto" w:sz="4" w:space="0"/>
            </w:tcBorders>
            <w:vAlign w:val="center"/>
          </w:tcPr>
          <w:p w14:paraId="2AB3A550">
            <w:pPr>
              <w:widowControl/>
              <w:jc w:val="left"/>
              <w:rPr>
                <w:rFonts w:ascii="Times New Roman" w:hAnsi="Times New Roman" w:eastAsia="仿宋_GB2312" w:cs="Times New Roman"/>
                <w:kern w:val="0"/>
                <w:sz w:val="24"/>
                <w:szCs w:val="24"/>
              </w:rPr>
            </w:pPr>
          </w:p>
        </w:tc>
        <w:tc>
          <w:tcPr>
            <w:tcW w:w="1337" w:type="dxa"/>
            <w:vMerge w:val="continue"/>
            <w:tcBorders>
              <w:top w:val="nil"/>
              <w:left w:val="single" w:color="auto" w:sz="4" w:space="0"/>
              <w:bottom w:val="single" w:color="auto" w:sz="4" w:space="0"/>
              <w:right w:val="single" w:color="auto" w:sz="4" w:space="0"/>
            </w:tcBorders>
            <w:vAlign w:val="center"/>
          </w:tcPr>
          <w:p w14:paraId="277A8903">
            <w:pPr>
              <w:widowControl/>
              <w:jc w:val="left"/>
              <w:rPr>
                <w:rFonts w:ascii="Times New Roman" w:hAnsi="Times New Roman" w:eastAsia="仿宋_GB2312" w:cs="Times New Roman"/>
                <w:kern w:val="0"/>
                <w:sz w:val="24"/>
                <w:szCs w:val="24"/>
              </w:rPr>
            </w:pPr>
          </w:p>
        </w:tc>
        <w:tc>
          <w:tcPr>
            <w:tcW w:w="1877" w:type="dxa"/>
            <w:vMerge w:val="continue"/>
            <w:tcBorders>
              <w:top w:val="single" w:color="auto" w:sz="4" w:space="0"/>
              <w:left w:val="single" w:color="auto" w:sz="4" w:space="0"/>
              <w:bottom w:val="single" w:color="auto" w:sz="4" w:space="0"/>
              <w:right w:val="single" w:color="auto" w:sz="4" w:space="0"/>
            </w:tcBorders>
            <w:vAlign w:val="center"/>
          </w:tcPr>
          <w:p w14:paraId="45FB917D">
            <w:pPr>
              <w:widowControl/>
              <w:jc w:val="left"/>
              <w:rPr>
                <w:rFonts w:ascii="Times New Roman" w:hAnsi="Times New Roman" w:eastAsia="仿宋_GB2312" w:cs="Times New Roman"/>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10608C31">
            <w:pPr>
              <w:widowControl/>
              <w:jc w:val="left"/>
              <w:rPr>
                <w:rFonts w:ascii="Times New Roman" w:hAnsi="Times New Roman" w:eastAsia="仿宋_GB2312" w:cs="Times New Roman"/>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14B267FC">
            <w:pPr>
              <w:widowControl/>
              <w:jc w:val="left"/>
              <w:rPr>
                <w:rFonts w:ascii="Times New Roman" w:hAnsi="Times New Roman" w:eastAsia="仿宋_GB2312" w:cs="Times New Roman"/>
                <w:kern w:val="0"/>
                <w:sz w:val="24"/>
                <w:szCs w:val="24"/>
              </w:rPr>
            </w:pPr>
          </w:p>
        </w:tc>
        <w:tc>
          <w:tcPr>
            <w:tcW w:w="1877" w:type="dxa"/>
            <w:vMerge w:val="continue"/>
            <w:tcBorders>
              <w:top w:val="single" w:color="auto" w:sz="4" w:space="0"/>
              <w:left w:val="single" w:color="auto" w:sz="4" w:space="0"/>
              <w:bottom w:val="single" w:color="auto" w:sz="4" w:space="0"/>
              <w:right w:val="single" w:color="auto" w:sz="4" w:space="0"/>
            </w:tcBorders>
            <w:vAlign w:val="center"/>
          </w:tcPr>
          <w:p w14:paraId="37528000">
            <w:pPr>
              <w:widowControl/>
              <w:jc w:val="left"/>
              <w:rPr>
                <w:rFonts w:ascii="Times New Roman" w:hAnsi="Times New Roman" w:eastAsia="仿宋_GB2312" w:cs="Times New Roman"/>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29B34B36">
            <w:pPr>
              <w:widowControl/>
              <w:jc w:val="left"/>
              <w:rPr>
                <w:rFonts w:ascii="Times New Roman" w:hAnsi="Times New Roman" w:eastAsia="仿宋_GB2312" w:cs="Times New Roman"/>
                <w:kern w:val="0"/>
                <w:sz w:val="24"/>
                <w:szCs w:val="24"/>
              </w:rPr>
            </w:pPr>
          </w:p>
        </w:tc>
        <w:tc>
          <w:tcPr>
            <w:tcW w:w="2697" w:type="dxa"/>
            <w:vMerge w:val="continue"/>
            <w:tcBorders>
              <w:top w:val="single" w:color="auto" w:sz="4" w:space="0"/>
              <w:left w:val="single" w:color="auto" w:sz="4" w:space="0"/>
              <w:bottom w:val="single" w:color="auto" w:sz="4" w:space="0"/>
              <w:right w:val="single" w:color="auto" w:sz="4" w:space="0"/>
            </w:tcBorders>
            <w:vAlign w:val="center"/>
          </w:tcPr>
          <w:p w14:paraId="45B5D3E1">
            <w:pPr>
              <w:widowControl/>
              <w:jc w:val="left"/>
              <w:rPr>
                <w:rFonts w:ascii="Times New Roman" w:hAnsi="Times New Roman" w:eastAsia="仿宋_GB2312" w:cs="Times New Roman"/>
                <w:kern w:val="0"/>
                <w:sz w:val="24"/>
                <w:szCs w:val="24"/>
              </w:rPr>
            </w:pPr>
          </w:p>
        </w:tc>
      </w:tr>
      <w:tr w14:paraId="45D0A420">
        <w:tblPrEx>
          <w:tblCellMar>
            <w:top w:w="0" w:type="dxa"/>
            <w:left w:w="108" w:type="dxa"/>
            <w:bottom w:w="0" w:type="dxa"/>
            <w:right w:w="108" w:type="dxa"/>
          </w:tblCellMar>
        </w:tblPrEx>
        <w:trPr>
          <w:trHeight w:val="595" w:hRule="atLeast"/>
          <w:jc w:val="center"/>
        </w:trPr>
        <w:tc>
          <w:tcPr>
            <w:tcW w:w="3761"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A0AAFA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1877" w:type="dxa"/>
            <w:tcBorders>
              <w:top w:val="nil"/>
              <w:left w:val="nil"/>
              <w:bottom w:val="single" w:color="auto" w:sz="4" w:space="0"/>
              <w:right w:val="single" w:color="auto" w:sz="4" w:space="0"/>
            </w:tcBorders>
            <w:shd w:val="clear" w:color="000000" w:fill="FFFFFF"/>
            <w:noWrap/>
            <w:vAlign w:val="center"/>
          </w:tcPr>
          <w:p w14:paraId="758ED37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1334" w:type="dxa"/>
            <w:tcBorders>
              <w:top w:val="nil"/>
              <w:left w:val="nil"/>
              <w:bottom w:val="single" w:color="auto" w:sz="4" w:space="0"/>
              <w:right w:val="single" w:color="auto" w:sz="4" w:space="0"/>
            </w:tcBorders>
            <w:shd w:val="clear" w:color="000000" w:fill="FFFFFF"/>
            <w:noWrap/>
            <w:vAlign w:val="center"/>
          </w:tcPr>
          <w:p w14:paraId="3911F1B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334" w:type="dxa"/>
            <w:tcBorders>
              <w:top w:val="nil"/>
              <w:left w:val="nil"/>
              <w:bottom w:val="single" w:color="auto" w:sz="4" w:space="0"/>
              <w:right w:val="single" w:color="auto" w:sz="4" w:space="0"/>
            </w:tcBorders>
            <w:shd w:val="clear" w:color="000000" w:fill="FFFFFF"/>
            <w:noWrap/>
            <w:vAlign w:val="center"/>
          </w:tcPr>
          <w:p w14:paraId="3B81976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877" w:type="dxa"/>
            <w:tcBorders>
              <w:top w:val="nil"/>
              <w:left w:val="nil"/>
              <w:bottom w:val="single" w:color="auto" w:sz="4" w:space="0"/>
              <w:right w:val="single" w:color="auto" w:sz="4" w:space="0"/>
            </w:tcBorders>
            <w:shd w:val="clear" w:color="000000" w:fill="FFFFFF"/>
            <w:noWrap/>
            <w:vAlign w:val="center"/>
          </w:tcPr>
          <w:p w14:paraId="776C0D1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334" w:type="dxa"/>
            <w:tcBorders>
              <w:top w:val="nil"/>
              <w:left w:val="nil"/>
              <w:bottom w:val="single" w:color="auto" w:sz="4" w:space="0"/>
              <w:right w:val="single" w:color="auto" w:sz="4" w:space="0"/>
            </w:tcBorders>
            <w:shd w:val="clear" w:color="000000" w:fill="FFFFFF"/>
            <w:noWrap/>
            <w:vAlign w:val="center"/>
          </w:tcPr>
          <w:p w14:paraId="4395C30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2697" w:type="dxa"/>
            <w:tcBorders>
              <w:top w:val="nil"/>
              <w:left w:val="nil"/>
              <w:bottom w:val="single" w:color="auto" w:sz="4" w:space="0"/>
              <w:right w:val="single" w:color="auto" w:sz="4" w:space="0"/>
            </w:tcBorders>
            <w:shd w:val="clear" w:color="000000" w:fill="FFFFFF"/>
            <w:noWrap/>
            <w:vAlign w:val="center"/>
          </w:tcPr>
          <w:p w14:paraId="7741E9A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615EC9FC">
        <w:tblPrEx>
          <w:tblCellMar>
            <w:top w:w="0" w:type="dxa"/>
            <w:left w:w="108" w:type="dxa"/>
            <w:bottom w:w="0" w:type="dxa"/>
            <w:right w:w="108" w:type="dxa"/>
          </w:tblCellMar>
        </w:tblPrEx>
        <w:trPr>
          <w:trHeight w:val="595" w:hRule="atLeast"/>
          <w:jc w:val="center"/>
        </w:trPr>
        <w:tc>
          <w:tcPr>
            <w:tcW w:w="3761"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4F5308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877" w:type="dxa"/>
            <w:tcBorders>
              <w:top w:val="nil"/>
              <w:left w:val="nil"/>
              <w:bottom w:val="single" w:color="auto" w:sz="4" w:space="0"/>
              <w:right w:val="single" w:color="auto" w:sz="4" w:space="0"/>
            </w:tcBorders>
            <w:shd w:val="clear" w:color="auto" w:fill="auto"/>
            <w:noWrap/>
            <w:vAlign w:val="center"/>
          </w:tcPr>
          <w:p w14:paraId="0CF6C3CD">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2,064.57</w:t>
            </w:r>
          </w:p>
        </w:tc>
        <w:tc>
          <w:tcPr>
            <w:tcW w:w="1334" w:type="dxa"/>
            <w:tcBorders>
              <w:top w:val="nil"/>
              <w:left w:val="nil"/>
              <w:bottom w:val="single" w:color="auto" w:sz="4" w:space="0"/>
              <w:right w:val="single" w:color="auto" w:sz="4" w:space="0"/>
            </w:tcBorders>
            <w:shd w:val="clear" w:color="auto" w:fill="auto"/>
            <w:noWrap/>
            <w:vAlign w:val="center"/>
          </w:tcPr>
          <w:p w14:paraId="498E375C">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870.20</w:t>
            </w:r>
          </w:p>
        </w:tc>
        <w:tc>
          <w:tcPr>
            <w:tcW w:w="1334" w:type="dxa"/>
            <w:tcBorders>
              <w:top w:val="nil"/>
              <w:left w:val="nil"/>
              <w:bottom w:val="single" w:color="auto" w:sz="4" w:space="0"/>
              <w:right w:val="single" w:color="auto" w:sz="4" w:space="0"/>
            </w:tcBorders>
            <w:shd w:val="clear" w:color="auto" w:fill="auto"/>
            <w:noWrap/>
            <w:vAlign w:val="center"/>
          </w:tcPr>
          <w:p w14:paraId="070F11D3">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1,194.37</w:t>
            </w:r>
          </w:p>
        </w:tc>
        <w:tc>
          <w:tcPr>
            <w:tcW w:w="1877" w:type="dxa"/>
            <w:tcBorders>
              <w:top w:val="nil"/>
              <w:left w:val="nil"/>
              <w:bottom w:val="single" w:color="auto" w:sz="4" w:space="0"/>
              <w:right w:val="single" w:color="auto" w:sz="4" w:space="0"/>
            </w:tcBorders>
            <w:shd w:val="clear" w:color="auto" w:fill="auto"/>
            <w:noWrap/>
            <w:vAlign w:val="center"/>
          </w:tcPr>
          <w:p w14:paraId="4E5B4B34">
            <w:pPr>
              <w:widowControl/>
              <w:jc w:val="center"/>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noWrap/>
            <w:vAlign w:val="center"/>
          </w:tcPr>
          <w:p w14:paraId="1688891F">
            <w:pPr>
              <w:widowControl/>
              <w:jc w:val="center"/>
              <w:rPr>
                <w:rFonts w:ascii="Times New Roman" w:hAnsi="Times New Roman" w:eastAsia="仿宋_GB2312" w:cs="Times New Roman"/>
                <w:kern w:val="0"/>
                <w:sz w:val="24"/>
                <w:szCs w:val="24"/>
              </w:rPr>
            </w:pPr>
          </w:p>
        </w:tc>
        <w:tc>
          <w:tcPr>
            <w:tcW w:w="2697" w:type="dxa"/>
            <w:tcBorders>
              <w:top w:val="nil"/>
              <w:left w:val="nil"/>
              <w:bottom w:val="single" w:color="auto" w:sz="4" w:space="0"/>
              <w:right w:val="single" w:color="auto" w:sz="4" w:space="0"/>
            </w:tcBorders>
            <w:shd w:val="clear" w:color="auto" w:fill="auto"/>
            <w:noWrap/>
            <w:vAlign w:val="center"/>
          </w:tcPr>
          <w:p w14:paraId="33A4373F">
            <w:pPr>
              <w:widowControl/>
              <w:jc w:val="center"/>
              <w:rPr>
                <w:rFonts w:ascii="Times New Roman" w:hAnsi="Times New Roman" w:eastAsia="仿宋_GB2312" w:cs="Times New Roman"/>
                <w:kern w:val="0"/>
                <w:sz w:val="24"/>
                <w:szCs w:val="24"/>
              </w:rPr>
            </w:pPr>
          </w:p>
        </w:tc>
      </w:tr>
      <w:tr w14:paraId="41AE1639">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FE2A24A">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201</w:t>
            </w:r>
          </w:p>
        </w:tc>
        <w:tc>
          <w:tcPr>
            <w:tcW w:w="1337" w:type="dxa"/>
            <w:tcBorders>
              <w:top w:val="nil"/>
              <w:left w:val="nil"/>
              <w:bottom w:val="single" w:color="auto" w:sz="4" w:space="0"/>
              <w:right w:val="single" w:color="auto" w:sz="4" w:space="0"/>
            </w:tcBorders>
            <w:shd w:val="clear" w:color="000000" w:fill="FFFFFF"/>
            <w:noWrap/>
            <w:vAlign w:val="center"/>
          </w:tcPr>
          <w:p w14:paraId="6F478D34">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一般公共服务支出</w:t>
            </w:r>
          </w:p>
        </w:tc>
        <w:tc>
          <w:tcPr>
            <w:tcW w:w="1877" w:type="dxa"/>
            <w:tcBorders>
              <w:top w:val="nil"/>
              <w:left w:val="nil"/>
              <w:bottom w:val="single" w:color="auto" w:sz="4" w:space="0"/>
              <w:right w:val="single" w:color="auto" w:sz="4" w:space="0"/>
            </w:tcBorders>
            <w:shd w:val="clear" w:color="auto" w:fill="auto"/>
            <w:noWrap/>
            <w:vAlign w:val="center"/>
          </w:tcPr>
          <w:p w14:paraId="09F6DF06">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2,064.57</w:t>
            </w:r>
          </w:p>
        </w:tc>
        <w:tc>
          <w:tcPr>
            <w:tcW w:w="1334" w:type="dxa"/>
            <w:tcBorders>
              <w:top w:val="nil"/>
              <w:left w:val="nil"/>
              <w:bottom w:val="single" w:color="auto" w:sz="4" w:space="0"/>
              <w:right w:val="single" w:color="auto" w:sz="4" w:space="0"/>
            </w:tcBorders>
            <w:shd w:val="clear" w:color="auto" w:fill="auto"/>
            <w:noWrap/>
            <w:vAlign w:val="center"/>
          </w:tcPr>
          <w:p w14:paraId="56050C96">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870.20</w:t>
            </w:r>
          </w:p>
        </w:tc>
        <w:tc>
          <w:tcPr>
            <w:tcW w:w="1334" w:type="dxa"/>
            <w:tcBorders>
              <w:top w:val="nil"/>
              <w:left w:val="nil"/>
              <w:bottom w:val="single" w:color="auto" w:sz="4" w:space="0"/>
              <w:right w:val="single" w:color="auto" w:sz="4" w:space="0"/>
            </w:tcBorders>
            <w:shd w:val="clear" w:color="auto" w:fill="auto"/>
            <w:noWrap/>
            <w:vAlign w:val="center"/>
          </w:tcPr>
          <w:p w14:paraId="518797EB">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1,194.37</w:t>
            </w:r>
          </w:p>
        </w:tc>
        <w:tc>
          <w:tcPr>
            <w:tcW w:w="1877" w:type="dxa"/>
            <w:tcBorders>
              <w:top w:val="nil"/>
              <w:left w:val="nil"/>
              <w:bottom w:val="single" w:color="auto" w:sz="4" w:space="0"/>
              <w:right w:val="single" w:color="auto" w:sz="4" w:space="0"/>
            </w:tcBorders>
            <w:shd w:val="clear" w:color="auto" w:fill="auto"/>
            <w:noWrap/>
            <w:vAlign w:val="center"/>
          </w:tcPr>
          <w:p w14:paraId="67C53A41">
            <w:pPr>
              <w:widowControl/>
              <w:jc w:val="center"/>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noWrap/>
            <w:vAlign w:val="center"/>
          </w:tcPr>
          <w:p w14:paraId="369FBE99">
            <w:pPr>
              <w:widowControl/>
              <w:jc w:val="center"/>
              <w:rPr>
                <w:rFonts w:ascii="Times New Roman" w:hAnsi="Times New Roman" w:eastAsia="仿宋_GB2312" w:cs="Times New Roman"/>
                <w:kern w:val="0"/>
                <w:sz w:val="24"/>
                <w:szCs w:val="24"/>
              </w:rPr>
            </w:pPr>
          </w:p>
        </w:tc>
        <w:tc>
          <w:tcPr>
            <w:tcW w:w="2697" w:type="dxa"/>
            <w:tcBorders>
              <w:top w:val="nil"/>
              <w:left w:val="nil"/>
              <w:bottom w:val="single" w:color="auto" w:sz="4" w:space="0"/>
              <w:right w:val="single" w:color="auto" w:sz="4" w:space="0"/>
            </w:tcBorders>
            <w:shd w:val="clear" w:color="auto" w:fill="auto"/>
            <w:noWrap/>
            <w:vAlign w:val="center"/>
          </w:tcPr>
          <w:p w14:paraId="185C0567">
            <w:pPr>
              <w:widowControl/>
              <w:jc w:val="center"/>
              <w:rPr>
                <w:rFonts w:ascii="Times New Roman" w:hAnsi="Times New Roman" w:eastAsia="仿宋_GB2312" w:cs="Times New Roman"/>
                <w:kern w:val="0"/>
                <w:sz w:val="24"/>
                <w:szCs w:val="24"/>
              </w:rPr>
            </w:pPr>
          </w:p>
        </w:tc>
      </w:tr>
      <w:tr w14:paraId="2BABC628">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5BD6714">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20141</w:t>
            </w:r>
          </w:p>
        </w:tc>
        <w:tc>
          <w:tcPr>
            <w:tcW w:w="1337" w:type="dxa"/>
            <w:tcBorders>
              <w:top w:val="nil"/>
              <w:left w:val="nil"/>
              <w:bottom w:val="single" w:color="auto" w:sz="4" w:space="0"/>
              <w:right w:val="single" w:color="auto" w:sz="4" w:space="0"/>
            </w:tcBorders>
            <w:shd w:val="clear" w:color="000000" w:fill="FFFFFF"/>
            <w:noWrap/>
            <w:vAlign w:val="center"/>
          </w:tcPr>
          <w:p w14:paraId="77ECC64E">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数据事务</w:t>
            </w:r>
          </w:p>
        </w:tc>
        <w:tc>
          <w:tcPr>
            <w:tcW w:w="1877" w:type="dxa"/>
            <w:tcBorders>
              <w:top w:val="nil"/>
              <w:left w:val="nil"/>
              <w:bottom w:val="single" w:color="auto" w:sz="4" w:space="0"/>
              <w:right w:val="single" w:color="auto" w:sz="4" w:space="0"/>
            </w:tcBorders>
            <w:shd w:val="clear" w:color="auto" w:fill="auto"/>
            <w:noWrap/>
            <w:vAlign w:val="center"/>
          </w:tcPr>
          <w:p w14:paraId="411DA992">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2,064.57</w:t>
            </w:r>
          </w:p>
        </w:tc>
        <w:tc>
          <w:tcPr>
            <w:tcW w:w="1334" w:type="dxa"/>
            <w:tcBorders>
              <w:top w:val="nil"/>
              <w:left w:val="nil"/>
              <w:bottom w:val="single" w:color="auto" w:sz="4" w:space="0"/>
              <w:right w:val="single" w:color="auto" w:sz="4" w:space="0"/>
            </w:tcBorders>
            <w:shd w:val="clear" w:color="auto" w:fill="auto"/>
            <w:noWrap/>
            <w:vAlign w:val="center"/>
          </w:tcPr>
          <w:p w14:paraId="37B31CD6">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870.20</w:t>
            </w:r>
          </w:p>
        </w:tc>
        <w:tc>
          <w:tcPr>
            <w:tcW w:w="1334" w:type="dxa"/>
            <w:tcBorders>
              <w:top w:val="nil"/>
              <w:left w:val="nil"/>
              <w:bottom w:val="single" w:color="auto" w:sz="4" w:space="0"/>
              <w:right w:val="single" w:color="auto" w:sz="4" w:space="0"/>
            </w:tcBorders>
            <w:shd w:val="clear" w:color="auto" w:fill="auto"/>
            <w:noWrap/>
            <w:vAlign w:val="center"/>
          </w:tcPr>
          <w:p w14:paraId="16F9B605">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1,194.37</w:t>
            </w:r>
          </w:p>
        </w:tc>
        <w:tc>
          <w:tcPr>
            <w:tcW w:w="1877" w:type="dxa"/>
            <w:tcBorders>
              <w:top w:val="nil"/>
              <w:left w:val="nil"/>
              <w:bottom w:val="single" w:color="auto" w:sz="4" w:space="0"/>
              <w:right w:val="single" w:color="auto" w:sz="4" w:space="0"/>
            </w:tcBorders>
            <w:shd w:val="clear" w:color="auto" w:fill="auto"/>
            <w:noWrap/>
            <w:vAlign w:val="center"/>
          </w:tcPr>
          <w:p w14:paraId="1D2AE64C">
            <w:pPr>
              <w:widowControl/>
              <w:jc w:val="center"/>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noWrap/>
            <w:vAlign w:val="center"/>
          </w:tcPr>
          <w:p w14:paraId="0CF933ED">
            <w:pPr>
              <w:widowControl/>
              <w:jc w:val="center"/>
              <w:rPr>
                <w:rFonts w:ascii="Times New Roman" w:hAnsi="Times New Roman" w:eastAsia="仿宋_GB2312" w:cs="Times New Roman"/>
                <w:kern w:val="0"/>
                <w:sz w:val="24"/>
                <w:szCs w:val="24"/>
              </w:rPr>
            </w:pPr>
          </w:p>
        </w:tc>
        <w:tc>
          <w:tcPr>
            <w:tcW w:w="2697" w:type="dxa"/>
            <w:tcBorders>
              <w:top w:val="nil"/>
              <w:left w:val="nil"/>
              <w:bottom w:val="single" w:color="auto" w:sz="4" w:space="0"/>
              <w:right w:val="single" w:color="auto" w:sz="4" w:space="0"/>
            </w:tcBorders>
            <w:shd w:val="clear" w:color="auto" w:fill="auto"/>
            <w:noWrap/>
            <w:vAlign w:val="center"/>
          </w:tcPr>
          <w:p w14:paraId="52F93C7F">
            <w:pPr>
              <w:widowControl/>
              <w:jc w:val="center"/>
              <w:rPr>
                <w:rFonts w:ascii="Times New Roman" w:hAnsi="Times New Roman" w:eastAsia="仿宋_GB2312" w:cs="Times New Roman"/>
                <w:kern w:val="0"/>
                <w:sz w:val="24"/>
                <w:szCs w:val="24"/>
              </w:rPr>
            </w:pPr>
          </w:p>
        </w:tc>
      </w:tr>
      <w:tr w14:paraId="75763AE3">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58708BC">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2014101</w:t>
            </w:r>
          </w:p>
        </w:tc>
        <w:tc>
          <w:tcPr>
            <w:tcW w:w="1337" w:type="dxa"/>
            <w:tcBorders>
              <w:top w:val="nil"/>
              <w:left w:val="nil"/>
              <w:bottom w:val="single" w:color="auto" w:sz="4" w:space="0"/>
              <w:right w:val="single" w:color="auto" w:sz="4" w:space="0"/>
            </w:tcBorders>
            <w:shd w:val="clear" w:color="000000" w:fill="FFFFFF"/>
            <w:noWrap/>
            <w:vAlign w:val="center"/>
          </w:tcPr>
          <w:p w14:paraId="0B882BBD">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行政运行</w:t>
            </w:r>
          </w:p>
        </w:tc>
        <w:tc>
          <w:tcPr>
            <w:tcW w:w="1877" w:type="dxa"/>
            <w:tcBorders>
              <w:top w:val="nil"/>
              <w:left w:val="nil"/>
              <w:bottom w:val="single" w:color="auto" w:sz="4" w:space="0"/>
              <w:right w:val="single" w:color="auto" w:sz="4" w:space="0"/>
            </w:tcBorders>
            <w:shd w:val="clear" w:color="auto" w:fill="auto"/>
            <w:noWrap/>
            <w:vAlign w:val="center"/>
          </w:tcPr>
          <w:p w14:paraId="4CF20E03">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870.20</w:t>
            </w:r>
          </w:p>
        </w:tc>
        <w:tc>
          <w:tcPr>
            <w:tcW w:w="1334" w:type="dxa"/>
            <w:tcBorders>
              <w:top w:val="nil"/>
              <w:left w:val="nil"/>
              <w:bottom w:val="single" w:color="auto" w:sz="4" w:space="0"/>
              <w:right w:val="single" w:color="auto" w:sz="4" w:space="0"/>
            </w:tcBorders>
            <w:shd w:val="clear" w:color="auto" w:fill="auto"/>
            <w:noWrap/>
            <w:vAlign w:val="center"/>
          </w:tcPr>
          <w:p w14:paraId="37C2FB92">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870.20</w:t>
            </w:r>
          </w:p>
        </w:tc>
        <w:tc>
          <w:tcPr>
            <w:tcW w:w="1334" w:type="dxa"/>
            <w:tcBorders>
              <w:top w:val="nil"/>
              <w:left w:val="nil"/>
              <w:bottom w:val="single" w:color="auto" w:sz="4" w:space="0"/>
              <w:right w:val="single" w:color="auto" w:sz="4" w:space="0"/>
            </w:tcBorders>
            <w:shd w:val="clear" w:color="auto" w:fill="auto"/>
            <w:noWrap/>
            <w:vAlign w:val="center"/>
          </w:tcPr>
          <w:p w14:paraId="5D45E5DA">
            <w:pPr>
              <w:jc w:val="center"/>
              <w:rPr>
                <w:rFonts w:ascii="Times New Roman" w:hAnsi="Times New Roman" w:eastAsia="仿宋_GB2312" w:cs="Times New Roman"/>
                <w:kern w:val="0"/>
                <w:sz w:val="24"/>
                <w:szCs w:val="24"/>
              </w:rPr>
            </w:pPr>
          </w:p>
        </w:tc>
        <w:tc>
          <w:tcPr>
            <w:tcW w:w="1877" w:type="dxa"/>
            <w:tcBorders>
              <w:top w:val="nil"/>
              <w:left w:val="nil"/>
              <w:bottom w:val="single" w:color="auto" w:sz="4" w:space="0"/>
              <w:right w:val="single" w:color="auto" w:sz="4" w:space="0"/>
            </w:tcBorders>
            <w:shd w:val="clear" w:color="auto" w:fill="auto"/>
            <w:noWrap/>
            <w:vAlign w:val="center"/>
          </w:tcPr>
          <w:p w14:paraId="03B7FACD">
            <w:pPr>
              <w:widowControl/>
              <w:jc w:val="center"/>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noWrap/>
            <w:vAlign w:val="center"/>
          </w:tcPr>
          <w:p w14:paraId="5B3E336E">
            <w:pPr>
              <w:widowControl/>
              <w:jc w:val="center"/>
              <w:rPr>
                <w:rFonts w:ascii="Times New Roman" w:hAnsi="Times New Roman" w:eastAsia="仿宋_GB2312" w:cs="Times New Roman"/>
                <w:kern w:val="0"/>
                <w:sz w:val="24"/>
                <w:szCs w:val="24"/>
              </w:rPr>
            </w:pPr>
          </w:p>
        </w:tc>
        <w:tc>
          <w:tcPr>
            <w:tcW w:w="2697" w:type="dxa"/>
            <w:tcBorders>
              <w:top w:val="nil"/>
              <w:left w:val="nil"/>
              <w:bottom w:val="single" w:color="auto" w:sz="4" w:space="0"/>
              <w:right w:val="single" w:color="auto" w:sz="4" w:space="0"/>
            </w:tcBorders>
            <w:shd w:val="clear" w:color="auto" w:fill="auto"/>
            <w:noWrap/>
            <w:vAlign w:val="center"/>
          </w:tcPr>
          <w:p w14:paraId="2D7A6C41">
            <w:pPr>
              <w:widowControl/>
              <w:jc w:val="center"/>
              <w:rPr>
                <w:rFonts w:ascii="Times New Roman" w:hAnsi="Times New Roman" w:eastAsia="仿宋_GB2312" w:cs="Times New Roman"/>
                <w:kern w:val="0"/>
                <w:sz w:val="24"/>
                <w:szCs w:val="24"/>
              </w:rPr>
            </w:pPr>
          </w:p>
        </w:tc>
      </w:tr>
      <w:tr w14:paraId="35B17A0D">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5675FE2">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2014199</w:t>
            </w:r>
          </w:p>
        </w:tc>
        <w:tc>
          <w:tcPr>
            <w:tcW w:w="1337" w:type="dxa"/>
            <w:tcBorders>
              <w:top w:val="nil"/>
              <w:left w:val="nil"/>
              <w:bottom w:val="single" w:color="auto" w:sz="4" w:space="0"/>
              <w:right w:val="single" w:color="auto" w:sz="4" w:space="0"/>
            </w:tcBorders>
            <w:shd w:val="clear" w:color="000000" w:fill="FFFFFF"/>
            <w:noWrap/>
            <w:vAlign w:val="center"/>
          </w:tcPr>
          <w:p w14:paraId="15083CD7">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其他数据事务支出</w:t>
            </w:r>
          </w:p>
        </w:tc>
        <w:tc>
          <w:tcPr>
            <w:tcW w:w="1877" w:type="dxa"/>
            <w:tcBorders>
              <w:top w:val="nil"/>
              <w:left w:val="nil"/>
              <w:bottom w:val="single" w:color="auto" w:sz="4" w:space="0"/>
              <w:right w:val="single" w:color="auto" w:sz="4" w:space="0"/>
            </w:tcBorders>
            <w:shd w:val="clear" w:color="auto" w:fill="auto"/>
            <w:noWrap/>
            <w:vAlign w:val="center"/>
          </w:tcPr>
          <w:p w14:paraId="646921E4">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1,194.37</w:t>
            </w:r>
          </w:p>
        </w:tc>
        <w:tc>
          <w:tcPr>
            <w:tcW w:w="1334" w:type="dxa"/>
            <w:tcBorders>
              <w:top w:val="nil"/>
              <w:left w:val="nil"/>
              <w:bottom w:val="single" w:color="auto" w:sz="4" w:space="0"/>
              <w:right w:val="single" w:color="auto" w:sz="4" w:space="0"/>
            </w:tcBorders>
            <w:shd w:val="clear" w:color="auto" w:fill="auto"/>
            <w:noWrap/>
            <w:vAlign w:val="center"/>
          </w:tcPr>
          <w:p w14:paraId="4A10A5C9">
            <w:pPr>
              <w:jc w:val="center"/>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noWrap/>
            <w:vAlign w:val="center"/>
          </w:tcPr>
          <w:p w14:paraId="69A335D9">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1,194.37</w:t>
            </w:r>
          </w:p>
        </w:tc>
        <w:tc>
          <w:tcPr>
            <w:tcW w:w="1877" w:type="dxa"/>
            <w:tcBorders>
              <w:top w:val="nil"/>
              <w:left w:val="nil"/>
              <w:bottom w:val="single" w:color="auto" w:sz="4" w:space="0"/>
              <w:right w:val="single" w:color="auto" w:sz="4" w:space="0"/>
            </w:tcBorders>
            <w:shd w:val="clear" w:color="auto" w:fill="auto"/>
            <w:noWrap/>
            <w:vAlign w:val="center"/>
          </w:tcPr>
          <w:p w14:paraId="288EEFFC">
            <w:pPr>
              <w:widowControl/>
              <w:jc w:val="center"/>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noWrap/>
            <w:vAlign w:val="center"/>
          </w:tcPr>
          <w:p w14:paraId="1C1C3D49">
            <w:pPr>
              <w:widowControl/>
              <w:jc w:val="center"/>
              <w:rPr>
                <w:rFonts w:ascii="Times New Roman" w:hAnsi="Times New Roman" w:eastAsia="仿宋_GB2312" w:cs="Times New Roman"/>
                <w:kern w:val="0"/>
                <w:sz w:val="24"/>
                <w:szCs w:val="24"/>
              </w:rPr>
            </w:pPr>
          </w:p>
        </w:tc>
        <w:tc>
          <w:tcPr>
            <w:tcW w:w="2697" w:type="dxa"/>
            <w:tcBorders>
              <w:top w:val="nil"/>
              <w:left w:val="nil"/>
              <w:bottom w:val="single" w:color="auto" w:sz="4" w:space="0"/>
              <w:right w:val="single" w:color="auto" w:sz="4" w:space="0"/>
            </w:tcBorders>
            <w:shd w:val="clear" w:color="auto" w:fill="auto"/>
            <w:noWrap/>
            <w:vAlign w:val="center"/>
          </w:tcPr>
          <w:p w14:paraId="1A8C1F93">
            <w:pPr>
              <w:widowControl/>
              <w:jc w:val="center"/>
              <w:rPr>
                <w:rFonts w:ascii="Times New Roman" w:hAnsi="Times New Roman" w:eastAsia="仿宋_GB2312" w:cs="Times New Roman"/>
                <w:kern w:val="0"/>
                <w:sz w:val="24"/>
                <w:szCs w:val="24"/>
              </w:rPr>
            </w:pPr>
          </w:p>
        </w:tc>
      </w:tr>
    </w:tbl>
    <w:p w14:paraId="530E779D">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0FCB87B0">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66A68018">
      <w:pPr>
        <w:widowControl/>
        <w:spacing w:line="400" w:lineRule="exact"/>
        <w:jc w:val="center"/>
        <w:textAlignment w:val="center"/>
        <w:rPr>
          <w:rFonts w:ascii="Times New Roman" w:hAnsi="Times New Roman" w:eastAsia="黑体" w:cs="Times New Roman"/>
          <w:color w:val="000000"/>
          <w:kern w:val="0"/>
          <w:sz w:val="32"/>
          <w:szCs w:val="32"/>
          <w:lang w:bidi="ar"/>
        </w:rPr>
      </w:pPr>
    </w:p>
    <w:p w14:paraId="06A2A585">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58914E96">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3DD80E06">
      <w:pPr>
        <w:widowControl/>
        <w:spacing w:line="600" w:lineRule="exact"/>
        <w:ind w:firstLine="400" w:firstLineChars="200"/>
        <w:rPr>
          <w:rFonts w:hint="eastAsia" w:ascii="仿宋" w:hAnsi="仿宋" w:eastAsia="仿宋" w:cs="仿宋"/>
          <w:bCs/>
          <w:kern w:val="0"/>
          <w:sz w:val="24"/>
          <w:szCs w:val="24"/>
        </w:rPr>
      </w:pPr>
      <w:r>
        <w:rPr>
          <w:rFonts w:ascii="Times New Roman" w:hAnsi="Times New Roman" w:eastAsia="仿宋_GB2312" w:cs="Times New Roman"/>
          <w:color w:val="000000"/>
          <w:kern w:val="0"/>
          <w:sz w:val="20"/>
          <w:szCs w:val="20"/>
        </w:rPr>
        <w:t>部门：</w:t>
      </w:r>
      <w:r>
        <w:rPr>
          <w:rFonts w:hint="eastAsia" w:ascii="仿宋" w:hAnsi="仿宋" w:eastAsia="仿宋" w:cs="仿宋"/>
          <w:bCs/>
          <w:kern w:val="0"/>
          <w:sz w:val="22"/>
          <w:szCs w:val="22"/>
          <w:lang w:eastAsia="zh-CN"/>
        </w:rPr>
        <w:t>蓝山县数据局（蓝山县</w:t>
      </w:r>
      <w:r>
        <w:rPr>
          <w:rFonts w:hint="eastAsia" w:ascii="仿宋" w:hAnsi="仿宋" w:eastAsia="仿宋" w:cs="仿宋"/>
          <w:bCs/>
          <w:kern w:val="0"/>
          <w:sz w:val="22"/>
          <w:szCs w:val="22"/>
          <w:lang w:val="en-US" w:eastAsia="zh-CN"/>
        </w:rPr>
        <w:t>行政审批服务局</w:t>
      </w:r>
      <w:r>
        <w:rPr>
          <w:rFonts w:hint="eastAsia" w:ascii="仿宋" w:hAnsi="仿宋" w:eastAsia="仿宋" w:cs="仿宋"/>
          <w:bCs/>
          <w:kern w:val="0"/>
          <w:sz w:val="22"/>
          <w:szCs w:val="22"/>
          <w:lang w:eastAsia="zh-CN"/>
        </w:rPr>
        <w:t>）</w:t>
      </w:r>
    </w:p>
    <w:p w14:paraId="7E39DD78">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9"/>
        <w:tblW w:w="14220" w:type="dxa"/>
        <w:jc w:val="center"/>
        <w:tblLayout w:type="fixed"/>
        <w:tblCellMar>
          <w:top w:w="0" w:type="dxa"/>
          <w:left w:w="108" w:type="dxa"/>
          <w:bottom w:w="0" w:type="dxa"/>
          <w:right w:w="108" w:type="dxa"/>
        </w:tblCellMar>
      </w:tblPr>
      <w:tblGrid>
        <w:gridCol w:w="3516"/>
        <w:gridCol w:w="616"/>
        <w:gridCol w:w="1231"/>
        <w:gridCol w:w="2101"/>
        <w:gridCol w:w="616"/>
        <w:gridCol w:w="1288"/>
        <w:gridCol w:w="1086"/>
        <w:gridCol w:w="1815"/>
        <w:gridCol w:w="1951"/>
      </w:tblGrid>
      <w:tr w14:paraId="6FD641C2">
        <w:tblPrEx>
          <w:tblCellMar>
            <w:top w:w="0" w:type="dxa"/>
            <w:left w:w="108" w:type="dxa"/>
            <w:bottom w:w="0" w:type="dxa"/>
            <w:right w:w="108" w:type="dxa"/>
          </w:tblCellMar>
        </w:tblPrEx>
        <w:trPr>
          <w:trHeight w:val="402" w:hRule="atLeast"/>
          <w:jc w:val="center"/>
        </w:trPr>
        <w:tc>
          <w:tcPr>
            <w:tcW w:w="5363"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3DD49C1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8857" w:type="dxa"/>
            <w:gridSpan w:val="6"/>
            <w:tcBorders>
              <w:top w:val="single" w:color="auto" w:sz="4" w:space="0"/>
              <w:left w:val="nil"/>
              <w:bottom w:val="single" w:color="auto" w:sz="4" w:space="0"/>
              <w:right w:val="single" w:color="auto" w:sz="4" w:space="0"/>
            </w:tcBorders>
            <w:shd w:val="clear" w:color="000000" w:fill="FFFFFF"/>
            <w:noWrap/>
            <w:vAlign w:val="center"/>
          </w:tcPr>
          <w:p w14:paraId="0B2E617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42A0F435">
        <w:tblPrEx>
          <w:tblCellMar>
            <w:top w:w="0" w:type="dxa"/>
            <w:left w:w="108" w:type="dxa"/>
            <w:bottom w:w="0" w:type="dxa"/>
            <w:right w:w="108" w:type="dxa"/>
          </w:tblCellMar>
        </w:tblPrEx>
        <w:trPr>
          <w:trHeight w:val="630"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2ADCE90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16" w:type="dxa"/>
            <w:tcBorders>
              <w:top w:val="nil"/>
              <w:left w:val="nil"/>
              <w:bottom w:val="single" w:color="auto" w:sz="4" w:space="0"/>
              <w:right w:val="single" w:color="auto" w:sz="4" w:space="0"/>
            </w:tcBorders>
            <w:shd w:val="clear" w:color="auto" w:fill="auto"/>
            <w:noWrap/>
            <w:vAlign w:val="center"/>
          </w:tcPr>
          <w:p w14:paraId="1C72554E">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231" w:type="dxa"/>
            <w:tcBorders>
              <w:top w:val="nil"/>
              <w:left w:val="nil"/>
              <w:bottom w:val="single" w:color="auto" w:sz="4" w:space="0"/>
              <w:right w:val="single" w:color="auto" w:sz="4" w:space="0"/>
            </w:tcBorders>
            <w:shd w:val="clear" w:color="auto" w:fill="auto"/>
            <w:noWrap/>
            <w:vAlign w:val="center"/>
          </w:tcPr>
          <w:p w14:paraId="4CCD53A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2101" w:type="dxa"/>
            <w:tcBorders>
              <w:top w:val="nil"/>
              <w:left w:val="nil"/>
              <w:bottom w:val="single" w:color="auto" w:sz="4" w:space="0"/>
              <w:right w:val="single" w:color="auto" w:sz="4" w:space="0"/>
            </w:tcBorders>
            <w:shd w:val="clear" w:color="auto" w:fill="auto"/>
            <w:noWrap/>
            <w:vAlign w:val="center"/>
          </w:tcPr>
          <w:p w14:paraId="222C1C0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16" w:type="dxa"/>
            <w:tcBorders>
              <w:top w:val="nil"/>
              <w:left w:val="nil"/>
              <w:bottom w:val="single" w:color="auto" w:sz="4" w:space="0"/>
              <w:right w:val="single" w:color="auto" w:sz="4" w:space="0"/>
            </w:tcBorders>
            <w:shd w:val="clear" w:color="auto" w:fill="auto"/>
            <w:noWrap/>
            <w:vAlign w:val="center"/>
          </w:tcPr>
          <w:p w14:paraId="43520811">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288" w:type="dxa"/>
            <w:tcBorders>
              <w:top w:val="nil"/>
              <w:left w:val="nil"/>
              <w:bottom w:val="single" w:color="auto" w:sz="4" w:space="0"/>
              <w:right w:val="single" w:color="auto" w:sz="4" w:space="0"/>
            </w:tcBorders>
            <w:shd w:val="clear" w:color="auto" w:fill="auto"/>
            <w:noWrap/>
            <w:vAlign w:val="center"/>
          </w:tcPr>
          <w:p w14:paraId="018FE20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086" w:type="dxa"/>
            <w:tcBorders>
              <w:top w:val="nil"/>
              <w:left w:val="nil"/>
              <w:bottom w:val="single" w:color="auto" w:sz="4" w:space="0"/>
              <w:right w:val="single" w:color="auto" w:sz="4" w:space="0"/>
            </w:tcBorders>
            <w:shd w:val="clear" w:color="auto" w:fill="auto"/>
            <w:vAlign w:val="center"/>
          </w:tcPr>
          <w:p w14:paraId="4850088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815" w:type="dxa"/>
            <w:tcBorders>
              <w:top w:val="nil"/>
              <w:left w:val="nil"/>
              <w:bottom w:val="single" w:color="auto" w:sz="4" w:space="0"/>
              <w:right w:val="single" w:color="auto" w:sz="4" w:space="0"/>
            </w:tcBorders>
            <w:shd w:val="clear" w:color="auto" w:fill="auto"/>
            <w:vAlign w:val="center"/>
          </w:tcPr>
          <w:p w14:paraId="0380DB5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1951" w:type="dxa"/>
            <w:tcBorders>
              <w:top w:val="nil"/>
              <w:left w:val="nil"/>
              <w:bottom w:val="single" w:color="auto" w:sz="4" w:space="0"/>
              <w:right w:val="single" w:color="auto" w:sz="4" w:space="0"/>
            </w:tcBorders>
            <w:shd w:val="clear" w:color="auto" w:fill="auto"/>
            <w:vAlign w:val="center"/>
          </w:tcPr>
          <w:p w14:paraId="0D65B8B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4A07DE79">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733D9A8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16" w:type="dxa"/>
            <w:tcBorders>
              <w:top w:val="nil"/>
              <w:left w:val="nil"/>
              <w:bottom w:val="single" w:color="auto" w:sz="4" w:space="0"/>
              <w:right w:val="single" w:color="auto" w:sz="4" w:space="0"/>
            </w:tcBorders>
            <w:shd w:val="clear" w:color="auto" w:fill="auto"/>
            <w:noWrap/>
            <w:vAlign w:val="center"/>
          </w:tcPr>
          <w:p w14:paraId="6FB723D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231" w:type="dxa"/>
            <w:tcBorders>
              <w:top w:val="nil"/>
              <w:left w:val="nil"/>
              <w:bottom w:val="single" w:color="auto" w:sz="4" w:space="0"/>
              <w:right w:val="single" w:color="auto" w:sz="4" w:space="0"/>
            </w:tcBorders>
            <w:shd w:val="clear" w:color="auto" w:fill="auto"/>
            <w:noWrap/>
            <w:vAlign w:val="center"/>
          </w:tcPr>
          <w:p w14:paraId="066F520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2101" w:type="dxa"/>
            <w:tcBorders>
              <w:top w:val="nil"/>
              <w:left w:val="nil"/>
              <w:bottom w:val="single" w:color="auto" w:sz="4" w:space="0"/>
              <w:right w:val="single" w:color="auto" w:sz="4" w:space="0"/>
            </w:tcBorders>
            <w:shd w:val="clear" w:color="auto" w:fill="auto"/>
            <w:noWrap/>
            <w:vAlign w:val="center"/>
          </w:tcPr>
          <w:p w14:paraId="317A6BE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16" w:type="dxa"/>
            <w:tcBorders>
              <w:top w:val="nil"/>
              <w:left w:val="nil"/>
              <w:bottom w:val="single" w:color="auto" w:sz="4" w:space="0"/>
              <w:right w:val="single" w:color="auto" w:sz="4" w:space="0"/>
            </w:tcBorders>
            <w:shd w:val="clear" w:color="auto" w:fill="auto"/>
            <w:noWrap/>
            <w:vAlign w:val="center"/>
          </w:tcPr>
          <w:p w14:paraId="1541D73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288" w:type="dxa"/>
            <w:tcBorders>
              <w:top w:val="nil"/>
              <w:left w:val="nil"/>
              <w:bottom w:val="single" w:color="auto" w:sz="4" w:space="0"/>
              <w:right w:val="single" w:color="auto" w:sz="4" w:space="0"/>
            </w:tcBorders>
            <w:shd w:val="clear" w:color="auto" w:fill="auto"/>
            <w:noWrap/>
            <w:vAlign w:val="center"/>
          </w:tcPr>
          <w:p w14:paraId="708FEA2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086" w:type="dxa"/>
            <w:tcBorders>
              <w:top w:val="nil"/>
              <w:left w:val="nil"/>
              <w:bottom w:val="single" w:color="auto" w:sz="4" w:space="0"/>
              <w:right w:val="single" w:color="auto" w:sz="4" w:space="0"/>
            </w:tcBorders>
            <w:shd w:val="clear" w:color="auto" w:fill="auto"/>
            <w:noWrap/>
            <w:vAlign w:val="center"/>
          </w:tcPr>
          <w:p w14:paraId="7B11BDF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815" w:type="dxa"/>
            <w:tcBorders>
              <w:top w:val="nil"/>
              <w:left w:val="nil"/>
              <w:bottom w:val="single" w:color="auto" w:sz="4" w:space="0"/>
              <w:right w:val="single" w:color="auto" w:sz="4" w:space="0"/>
            </w:tcBorders>
            <w:shd w:val="clear" w:color="auto" w:fill="auto"/>
            <w:noWrap/>
            <w:vAlign w:val="center"/>
          </w:tcPr>
          <w:p w14:paraId="2ED0E5C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951" w:type="dxa"/>
            <w:tcBorders>
              <w:top w:val="nil"/>
              <w:left w:val="nil"/>
              <w:bottom w:val="single" w:color="auto" w:sz="4" w:space="0"/>
              <w:right w:val="single" w:color="auto" w:sz="4" w:space="0"/>
            </w:tcBorders>
            <w:shd w:val="clear" w:color="auto" w:fill="auto"/>
            <w:noWrap/>
            <w:vAlign w:val="center"/>
          </w:tcPr>
          <w:p w14:paraId="2213F0C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318D5BD8">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3FE03D4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616" w:type="dxa"/>
            <w:tcBorders>
              <w:top w:val="nil"/>
              <w:left w:val="nil"/>
              <w:bottom w:val="single" w:color="auto" w:sz="4" w:space="0"/>
              <w:right w:val="single" w:color="auto" w:sz="4" w:space="0"/>
            </w:tcBorders>
            <w:shd w:val="clear" w:color="auto" w:fill="auto"/>
            <w:noWrap/>
            <w:vAlign w:val="center"/>
          </w:tcPr>
          <w:p w14:paraId="07C730D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1231" w:type="dxa"/>
            <w:tcBorders>
              <w:top w:val="nil"/>
              <w:left w:val="nil"/>
              <w:bottom w:val="single" w:color="auto" w:sz="4" w:space="0"/>
              <w:right w:val="single" w:color="auto" w:sz="4" w:space="0"/>
            </w:tcBorders>
            <w:shd w:val="clear" w:color="auto" w:fill="auto"/>
            <w:noWrap/>
            <w:vAlign w:val="center"/>
          </w:tcPr>
          <w:p w14:paraId="08EB7B06">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color w:val="000000"/>
                <w:kern w:val="0"/>
                <w:sz w:val="22"/>
                <w:szCs w:val="22"/>
                <w:u w:val="none"/>
                <w:lang w:val="en-US" w:eastAsia="zh-CN" w:bidi="ar"/>
              </w:rPr>
              <w:t xml:space="preserve">1,959.59 </w:t>
            </w:r>
          </w:p>
        </w:tc>
        <w:tc>
          <w:tcPr>
            <w:tcW w:w="2101" w:type="dxa"/>
            <w:tcBorders>
              <w:top w:val="nil"/>
              <w:left w:val="nil"/>
              <w:bottom w:val="single" w:color="auto" w:sz="4" w:space="0"/>
              <w:right w:val="single" w:color="auto" w:sz="4" w:space="0"/>
            </w:tcBorders>
            <w:shd w:val="clear" w:color="auto" w:fill="auto"/>
            <w:noWrap/>
            <w:vAlign w:val="center"/>
          </w:tcPr>
          <w:p w14:paraId="54BA08B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616" w:type="dxa"/>
            <w:tcBorders>
              <w:top w:val="nil"/>
              <w:left w:val="nil"/>
              <w:bottom w:val="single" w:color="auto" w:sz="4" w:space="0"/>
              <w:right w:val="single" w:color="auto" w:sz="4" w:space="0"/>
            </w:tcBorders>
            <w:shd w:val="clear" w:color="auto" w:fill="auto"/>
            <w:noWrap/>
            <w:vAlign w:val="center"/>
          </w:tcPr>
          <w:p w14:paraId="250CAF2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1288" w:type="dxa"/>
            <w:tcBorders>
              <w:top w:val="nil"/>
              <w:left w:val="nil"/>
              <w:bottom w:val="single" w:color="auto" w:sz="4" w:space="0"/>
              <w:right w:val="single" w:color="auto" w:sz="4" w:space="0"/>
            </w:tcBorders>
            <w:shd w:val="clear" w:color="auto" w:fill="auto"/>
            <w:noWrap/>
            <w:vAlign w:val="center"/>
          </w:tcPr>
          <w:p w14:paraId="24DC4980">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color w:val="000000"/>
                <w:kern w:val="0"/>
                <w:sz w:val="22"/>
                <w:szCs w:val="22"/>
                <w:u w:val="none"/>
                <w:lang w:val="en-US" w:eastAsia="zh-CN" w:bidi="ar"/>
              </w:rPr>
              <w:t xml:space="preserve">1,959.59 </w:t>
            </w:r>
          </w:p>
        </w:tc>
        <w:tc>
          <w:tcPr>
            <w:tcW w:w="1086" w:type="dxa"/>
            <w:tcBorders>
              <w:top w:val="nil"/>
              <w:left w:val="nil"/>
              <w:bottom w:val="single" w:color="auto" w:sz="4" w:space="0"/>
              <w:right w:val="single" w:color="auto" w:sz="4" w:space="0"/>
            </w:tcBorders>
            <w:shd w:val="clear" w:color="auto" w:fill="auto"/>
            <w:noWrap/>
            <w:vAlign w:val="center"/>
          </w:tcPr>
          <w:p w14:paraId="30868C1C">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color w:val="000000"/>
                <w:kern w:val="0"/>
                <w:sz w:val="22"/>
                <w:szCs w:val="22"/>
                <w:u w:val="none"/>
                <w:lang w:val="en-US" w:eastAsia="zh-CN" w:bidi="ar"/>
              </w:rPr>
              <w:t xml:space="preserve">1,959.59 </w:t>
            </w:r>
          </w:p>
        </w:tc>
        <w:tc>
          <w:tcPr>
            <w:tcW w:w="1815" w:type="dxa"/>
            <w:tcBorders>
              <w:top w:val="nil"/>
              <w:left w:val="nil"/>
              <w:bottom w:val="single" w:color="auto" w:sz="4" w:space="0"/>
              <w:right w:val="single" w:color="auto" w:sz="4" w:space="0"/>
            </w:tcBorders>
            <w:shd w:val="clear" w:color="auto" w:fill="auto"/>
            <w:noWrap/>
            <w:vAlign w:val="center"/>
          </w:tcPr>
          <w:p w14:paraId="7E72EE4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noWrap/>
            <w:vAlign w:val="center"/>
          </w:tcPr>
          <w:p w14:paraId="4A92303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5CABFC4">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2B58DBE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616" w:type="dxa"/>
            <w:tcBorders>
              <w:top w:val="nil"/>
              <w:left w:val="nil"/>
              <w:bottom w:val="single" w:color="auto" w:sz="4" w:space="0"/>
              <w:right w:val="single" w:color="auto" w:sz="4" w:space="0"/>
            </w:tcBorders>
            <w:shd w:val="clear" w:color="auto" w:fill="auto"/>
            <w:noWrap/>
            <w:vAlign w:val="center"/>
          </w:tcPr>
          <w:p w14:paraId="2FE06FB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1231" w:type="dxa"/>
            <w:tcBorders>
              <w:top w:val="nil"/>
              <w:left w:val="nil"/>
              <w:bottom w:val="single" w:color="auto" w:sz="4" w:space="0"/>
              <w:right w:val="single" w:color="auto" w:sz="4" w:space="0"/>
            </w:tcBorders>
            <w:shd w:val="clear" w:color="auto" w:fill="auto"/>
            <w:noWrap/>
            <w:vAlign w:val="center"/>
          </w:tcPr>
          <w:p w14:paraId="5A86700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101" w:type="dxa"/>
            <w:tcBorders>
              <w:top w:val="nil"/>
              <w:left w:val="nil"/>
              <w:bottom w:val="single" w:color="auto" w:sz="4" w:space="0"/>
              <w:right w:val="single" w:color="auto" w:sz="4" w:space="0"/>
            </w:tcBorders>
            <w:shd w:val="clear" w:color="auto" w:fill="auto"/>
            <w:noWrap/>
            <w:vAlign w:val="center"/>
          </w:tcPr>
          <w:p w14:paraId="79CFAB8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616" w:type="dxa"/>
            <w:tcBorders>
              <w:top w:val="nil"/>
              <w:left w:val="nil"/>
              <w:bottom w:val="single" w:color="auto" w:sz="4" w:space="0"/>
              <w:right w:val="single" w:color="auto" w:sz="4" w:space="0"/>
            </w:tcBorders>
            <w:shd w:val="clear" w:color="auto" w:fill="auto"/>
            <w:noWrap/>
            <w:vAlign w:val="center"/>
          </w:tcPr>
          <w:p w14:paraId="28EBECD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1288" w:type="dxa"/>
            <w:tcBorders>
              <w:top w:val="nil"/>
              <w:left w:val="nil"/>
              <w:bottom w:val="single" w:color="auto" w:sz="4" w:space="0"/>
              <w:right w:val="single" w:color="auto" w:sz="4" w:space="0"/>
            </w:tcBorders>
            <w:shd w:val="clear" w:color="auto" w:fill="auto"/>
            <w:noWrap/>
            <w:vAlign w:val="center"/>
          </w:tcPr>
          <w:p w14:paraId="0BD0EA3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086" w:type="dxa"/>
            <w:tcBorders>
              <w:top w:val="nil"/>
              <w:left w:val="nil"/>
              <w:bottom w:val="single" w:color="auto" w:sz="4" w:space="0"/>
              <w:right w:val="single" w:color="auto" w:sz="4" w:space="0"/>
            </w:tcBorders>
            <w:shd w:val="clear" w:color="auto" w:fill="auto"/>
            <w:noWrap/>
            <w:vAlign w:val="center"/>
          </w:tcPr>
          <w:p w14:paraId="39B9E20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16EA09C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noWrap/>
            <w:vAlign w:val="center"/>
          </w:tcPr>
          <w:p w14:paraId="1D302CD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7494A03">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7D2A69F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616" w:type="dxa"/>
            <w:tcBorders>
              <w:top w:val="nil"/>
              <w:left w:val="nil"/>
              <w:bottom w:val="single" w:color="auto" w:sz="4" w:space="0"/>
              <w:right w:val="single" w:color="auto" w:sz="4" w:space="0"/>
            </w:tcBorders>
            <w:shd w:val="clear" w:color="auto" w:fill="auto"/>
            <w:noWrap/>
            <w:vAlign w:val="center"/>
          </w:tcPr>
          <w:p w14:paraId="42135A9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1231" w:type="dxa"/>
            <w:tcBorders>
              <w:top w:val="nil"/>
              <w:left w:val="nil"/>
              <w:bottom w:val="single" w:color="auto" w:sz="4" w:space="0"/>
              <w:right w:val="single" w:color="auto" w:sz="4" w:space="0"/>
            </w:tcBorders>
            <w:shd w:val="clear" w:color="auto" w:fill="auto"/>
            <w:noWrap/>
            <w:vAlign w:val="center"/>
          </w:tcPr>
          <w:p w14:paraId="0972469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101" w:type="dxa"/>
            <w:tcBorders>
              <w:top w:val="nil"/>
              <w:left w:val="nil"/>
              <w:bottom w:val="single" w:color="auto" w:sz="4" w:space="0"/>
              <w:right w:val="single" w:color="auto" w:sz="4" w:space="0"/>
            </w:tcBorders>
            <w:shd w:val="clear" w:color="auto" w:fill="auto"/>
            <w:noWrap/>
            <w:vAlign w:val="center"/>
          </w:tcPr>
          <w:p w14:paraId="058CEE8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616" w:type="dxa"/>
            <w:tcBorders>
              <w:top w:val="nil"/>
              <w:left w:val="nil"/>
              <w:bottom w:val="single" w:color="auto" w:sz="4" w:space="0"/>
              <w:right w:val="single" w:color="auto" w:sz="4" w:space="0"/>
            </w:tcBorders>
            <w:shd w:val="clear" w:color="auto" w:fill="auto"/>
            <w:noWrap/>
            <w:vAlign w:val="center"/>
          </w:tcPr>
          <w:p w14:paraId="477D201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1288" w:type="dxa"/>
            <w:tcBorders>
              <w:top w:val="nil"/>
              <w:left w:val="nil"/>
              <w:bottom w:val="single" w:color="auto" w:sz="4" w:space="0"/>
              <w:right w:val="single" w:color="auto" w:sz="4" w:space="0"/>
            </w:tcBorders>
            <w:shd w:val="clear" w:color="auto" w:fill="auto"/>
            <w:noWrap/>
            <w:vAlign w:val="center"/>
          </w:tcPr>
          <w:p w14:paraId="0988DB7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086" w:type="dxa"/>
            <w:tcBorders>
              <w:top w:val="nil"/>
              <w:left w:val="nil"/>
              <w:bottom w:val="single" w:color="auto" w:sz="4" w:space="0"/>
              <w:right w:val="single" w:color="auto" w:sz="4" w:space="0"/>
            </w:tcBorders>
            <w:shd w:val="clear" w:color="auto" w:fill="auto"/>
            <w:noWrap/>
            <w:vAlign w:val="center"/>
          </w:tcPr>
          <w:p w14:paraId="1A1FC82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2A062F3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noWrap/>
            <w:vAlign w:val="center"/>
          </w:tcPr>
          <w:p w14:paraId="671FA81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A53FB20">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53B2846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6ACEF57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1231" w:type="dxa"/>
            <w:tcBorders>
              <w:top w:val="nil"/>
              <w:left w:val="nil"/>
              <w:bottom w:val="single" w:color="auto" w:sz="4" w:space="0"/>
              <w:right w:val="single" w:color="auto" w:sz="4" w:space="0"/>
            </w:tcBorders>
            <w:shd w:val="clear" w:color="auto" w:fill="auto"/>
            <w:noWrap/>
            <w:vAlign w:val="center"/>
          </w:tcPr>
          <w:p w14:paraId="191F35A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101" w:type="dxa"/>
            <w:tcBorders>
              <w:top w:val="nil"/>
              <w:left w:val="nil"/>
              <w:bottom w:val="single" w:color="auto" w:sz="4" w:space="0"/>
              <w:right w:val="single" w:color="auto" w:sz="4" w:space="0"/>
            </w:tcBorders>
            <w:shd w:val="clear" w:color="auto" w:fill="auto"/>
            <w:noWrap/>
            <w:vAlign w:val="center"/>
          </w:tcPr>
          <w:p w14:paraId="16C6517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616" w:type="dxa"/>
            <w:tcBorders>
              <w:top w:val="nil"/>
              <w:left w:val="nil"/>
              <w:bottom w:val="single" w:color="auto" w:sz="4" w:space="0"/>
              <w:right w:val="single" w:color="auto" w:sz="4" w:space="0"/>
            </w:tcBorders>
            <w:shd w:val="clear" w:color="auto" w:fill="auto"/>
            <w:noWrap/>
            <w:vAlign w:val="center"/>
          </w:tcPr>
          <w:p w14:paraId="77D9E39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1288" w:type="dxa"/>
            <w:tcBorders>
              <w:top w:val="nil"/>
              <w:left w:val="nil"/>
              <w:bottom w:val="single" w:color="auto" w:sz="4" w:space="0"/>
              <w:right w:val="single" w:color="auto" w:sz="4" w:space="0"/>
            </w:tcBorders>
            <w:shd w:val="clear" w:color="auto" w:fill="auto"/>
            <w:noWrap/>
            <w:vAlign w:val="center"/>
          </w:tcPr>
          <w:p w14:paraId="628C7AB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086" w:type="dxa"/>
            <w:tcBorders>
              <w:top w:val="nil"/>
              <w:left w:val="nil"/>
              <w:bottom w:val="single" w:color="auto" w:sz="4" w:space="0"/>
              <w:right w:val="single" w:color="auto" w:sz="4" w:space="0"/>
            </w:tcBorders>
            <w:shd w:val="clear" w:color="auto" w:fill="auto"/>
            <w:noWrap/>
            <w:vAlign w:val="center"/>
          </w:tcPr>
          <w:p w14:paraId="5869077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4FC912D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noWrap/>
            <w:vAlign w:val="center"/>
          </w:tcPr>
          <w:p w14:paraId="666AAD4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DE3DE4F">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6C991DD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461E1B8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1231" w:type="dxa"/>
            <w:tcBorders>
              <w:top w:val="nil"/>
              <w:left w:val="nil"/>
              <w:bottom w:val="single" w:color="auto" w:sz="4" w:space="0"/>
              <w:right w:val="single" w:color="auto" w:sz="4" w:space="0"/>
            </w:tcBorders>
            <w:shd w:val="clear" w:color="auto" w:fill="auto"/>
            <w:noWrap/>
            <w:vAlign w:val="center"/>
          </w:tcPr>
          <w:p w14:paraId="57BD83D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101" w:type="dxa"/>
            <w:tcBorders>
              <w:top w:val="nil"/>
              <w:left w:val="nil"/>
              <w:bottom w:val="single" w:color="auto" w:sz="4" w:space="0"/>
              <w:right w:val="single" w:color="auto" w:sz="4" w:space="0"/>
            </w:tcBorders>
            <w:shd w:val="clear" w:color="auto" w:fill="auto"/>
            <w:noWrap/>
            <w:vAlign w:val="center"/>
          </w:tcPr>
          <w:p w14:paraId="1619B8C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616" w:type="dxa"/>
            <w:tcBorders>
              <w:top w:val="nil"/>
              <w:left w:val="nil"/>
              <w:bottom w:val="single" w:color="auto" w:sz="4" w:space="0"/>
              <w:right w:val="single" w:color="auto" w:sz="4" w:space="0"/>
            </w:tcBorders>
            <w:shd w:val="clear" w:color="auto" w:fill="auto"/>
            <w:noWrap/>
            <w:vAlign w:val="center"/>
          </w:tcPr>
          <w:p w14:paraId="3447926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1288" w:type="dxa"/>
            <w:tcBorders>
              <w:top w:val="nil"/>
              <w:left w:val="nil"/>
              <w:bottom w:val="single" w:color="auto" w:sz="4" w:space="0"/>
              <w:right w:val="single" w:color="auto" w:sz="4" w:space="0"/>
            </w:tcBorders>
            <w:shd w:val="clear" w:color="auto" w:fill="auto"/>
            <w:noWrap/>
            <w:vAlign w:val="center"/>
          </w:tcPr>
          <w:p w14:paraId="3714E2D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086" w:type="dxa"/>
            <w:tcBorders>
              <w:top w:val="nil"/>
              <w:left w:val="nil"/>
              <w:bottom w:val="single" w:color="auto" w:sz="4" w:space="0"/>
              <w:right w:val="single" w:color="auto" w:sz="4" w:space="0"/>
            </w:tcBorders>
            <w:shd w:val="clear" w:color="auto" w:fill="auto"/>
            <w:noWrap/>
            <w:vAlign w:val="center"/>
          </w:tcPr>
          <w:p w14:paraId="664F999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7EFAF9F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noWrap/>
            <w:vAlign w:val="center"/>
          </w:tcPr>
          <w:p w14:paraId="3356882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BF27063">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241FA75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1EEF1EF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1231" w:type="dxa"/>
            <w:tcBorders>
              <w:top w:val="nil"/>
              <w:left w:val="nil"/>
              <w:bottom w:val="single" w:color="auto" w:sz="4" w:space="0"/>
              <w:right w:val="single" w:color="auto" w:sz="4" w:space="0"/>
            </w:tcBorders>
            <w:shd w:val="clear" w:color="auto" w:fill="auto"/>
            <w:noWrap/>
            <w:vAlign w:val="center"/>
          </w:tcPr>
          <w:p w14:paraId="77806A7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101" w:type="dxa"/>
            <w:tcBorders>
              <w:top w:val="nil"/>
              <w:left w:val="nil"/>
              <w:bottom w:val="single" w:color="auto" w:sz="4" w:space="0"/>
              <w:right w:val="single" w:color="auto" w:sz="4" w:space="0"/>
            </w:tcBorders>
            <w:shd w:val="clear" w:color="auto" w:fill="auto"/>
            <w:noWrap/>
            <w:vAlign w:val="center"/>
          </w:tcPr>
          <w:p w14:paraId="3208FD0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616" w:type="dxa"/>
            <w:tcBorders>
              <w:top w:val="nil"/>
              <w:left w:val="nil"/>
              <w:bottom w:val="single" w:color="auto" w:sz="4" w:space="0"/>
              <w:right w:val="single" w:color="auto" w:sz="4" w:space="0"/>
            </w:tcBorders>
            <w:shd w:val="clear" w:color="auto" w:fill="auto"/>
            <w:noWrap/>
            <w:vAlign w:val="center"/>
          </w:tcPr>
          <w:p w14:paraId="54B35C0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1288" w:type="dxa"/>
            <w:tcBorders>
              <w:top w:val="nil"/>
              <w:left w:val="nil"/>
              <w:bottom w:val="single" w:color="auto" w:sz="4" w:space="0"/>
              <w:right w:val="single" w:color="auto" w:sz="4" w:space="0"/>
            </w:tcBorders>
            <w:shd w:val="clear" w:color="auto" w:fill="auto"/>
            <w:noWrap/>
            <w:vAlign w:val="center"/>
          </w:tcPr>
          <w:p w14:paraId="0E3595A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086" w:type="dxa"/>
            <w:tcBorders>
              <w:top w:val="nil"/>
              <w:left w:val="nil"/>
              <w:bottom w:val="single" w:color="auto" w:sz="4" w:space="0"/>
              <w:right w:val="single" w:color="auto" w:sz="4" w:space="0"/>
            </w:tcBorders>
            <w:shd w:val="clear" w:color="auto" w:fill="auto"/>
            <w:noWrap/>
            <w:vAlign w:val="center"/>
          </w:tcPr>
          <w:p w14:paraId="18B041C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415B60C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noWrap/>
            <w:vAlign w:val="center"/>
          </w:tcPr>
          <w:p w14:paraId="1593481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83535E5">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67551FF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76506D4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1231" w:type="dxa"/>
            <w:tcBorders>
              <w:top w:val="nil"/>
              <w:left w:val="nil"/>
              <w:bottom w:val="single" w:color="auto" w:sz="4" w:space="0"/>
              <w:right w:val="single" w:color="auto" w:sz="4" w:space="0"/>
            </w:tcBorders>
            <w:shd w:val="clear" w:color="auto" w:fill="auto"/>
            <w:noWrap/>
            <w:vAlign w:val="center"/>
          </w:tcPr>
          <w:p w14:paraId="3A5646B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101" w:type="dxa"/>
            <w:tcBorders>
              <w:top w:val="nil"/>
              <w:left w:val="nil"/>
              <w:bottom w:val="single" w:color="auto" w:sz="4" w:space="0"/>
              <w:right w:val="single" w:color="auto" w:sz="4" w:space="0"/>
            </w:tcBorders>
            <w:shd w:val="clear" w:color="auto" w:fill="auto"/>
            <w:noWrap/>
            <w:vAlign w:val="center"/>
          </w:tcPr>
          <w:p w14:paraId="057D0570">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w:t>
            </w:r>
          </w:p>
        </w:tc>
        <w:tc>
          <w:tcPr>
            <w:tcW w:w="616" w:type="dxa"/>
            <w:tcBorders>
              <w:top w:val="nil"/>
              <w:left w:val="nil"/>
              <w:bottom w:val="single" w:color="auto" w:sz="4" w:space="0"/>
              <w:right w:val="single" w:color="auto" w:sz="4" w:space="0"/>
            </w:tcBorders>
            <w:shd w:val="clear" w:color="auto" w:fill="auto"/>
            <w:noWrap/>
            <w:vAlign w:val="center"/>
          </w:tcPr>
          <w:p w14:paraId="5394AC3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1288" w:type="dxa"/>
            <w:tcBorders>
              <w:top w:val="nil"/>
              <w:left w:val="nil"/>
              <w:bottom w:val="single" w:color="auto" w:sz="4" w:space="0"/>
              <w:right w:val="single" w:color="auto" w:sz="4" w:space="0"/>
            </w:tcBorders>
            <w:shd w:val="clear" w:color="auto" w:fill="auto"/>
            <w:noWrap/>
            <w:vAlign w:val="center"/>
          </w:tcPr>
          <w:p w14:paraId="665B4FC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086" w:type="dxa"/>
            <w:tcBorders>
              <w:top w:val="nil"/>
              <w:left w:val="nil"/>
              <w:bottom w:val="single" w:color="auto" w:sz="4" w:space="0"/>
              <w:right w:val="single" w:color="auto" w:sz="4" w:space="0"/>
            </w:tcBorders>
            <w:shd w:val="clear" w:color="auto" w:fill="auto"/>
            <w:noWrap/>
            <w:vAlign w:val="center"/>
          </w:tcPr>
          <w:p w14:paraId="55A810F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0B612FD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noWrap/>
            <w:vAlign w:val="center"/>
          </w:tcPr>
          <w:p w14:paraId="36677BD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3B7CA67">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6EAF3BB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6D990A5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1231" w:type="dxa"/>
            <w:tcBorders>
              <w:top w:val="nil"/>
              <w:left w:val="nil"/>
              <w:bottom w:val="single" w:color="auto" w:sz="4" w:space="0"/>
              <w:right w:val="single" w:color="auto" w:sz="4" w:space="0"/>
            </w:tcBorders>
            <w:shd w:val="clear" w:color="auto" w:fill="auto"/>
            <w:noWrap/>
            <w:vAlign w:val="center"/>
          </w:tcPr>
          <w:p w14:paraId="00A92AA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101" w:type="dxa"/>
            <w:tcBorders>
              <w:top w:val="nil"/>
              <w:left w:val="nil"/>
              <w:bottom w:val="single" w:color="auto" w:sz="4" w:space="0"/>
              <w:right w:val="single" w:color="auto" w:sz="4" w:space="0"/>
            </w:tcBorders>
            <w:shd w:val="clear" w:color="auto" w:fill="auto"/>
            <w:noWrap/>
            <w:vAlign w:val="center"/>
          </w:tcPr>
          <w:p w14:paraId="4472118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5EA8588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1288" w:type="dxa"/>
            <w:tcBorders>
              <w:top w:val="nil"/>
              <w:left w:val="nil"/>
              <w:bottom w:val="single" w:color="auto" w:sz="4" w:space="0"/>
              <w:right w:val="single" w:color="auto" w:sz="4" w:space="0"/>
            </w:tcBorders>
            <w:shd w:val="clear" w:color="auto" w:fill="auto"/>
            <w:noWrap/>
            <w:vAlign w:val="center"/>
          </w:tcPr>
          <w:p w14:paraId="6CE201C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086" w:type="dxa"/>
            <w:tcBorders>
              <w:top w:val="nil"/>
              <w:left w:val="nil"/>
              <w:bottom w:val="single" w:color="auto" w:sz="4" w:space="0"/>
              <w:right w:val="single" w:color="auto" w:sz="4" w:space="0"/>
            </w:tcBorders>
            <w:shd w:val="clear" w:color="auto" w:fill="auto"/>
            <w:noWrap/>
            <w:vAlign w:val="center"/>
          </w:tcPr>
          <w:p w14:paraId="5CAA0D7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4BD97BB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noWrap/>
            <w:vAlign w:val="center"/>
          </w:tcPr>
          <w:p w14:paraId="71ECB29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552B83D">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1F5B4C76">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616" w:type="dxa"/>
            <w:tcBorders>
              <w:top w:val="nil"/>
              <w:left w:val="nil"/>
              <w:bottom w:val="single" w:color="auto" w:sz="4" w:space="0"/>
              <w:right w:val="single" w:color="auto" w:sz="4" w:space="0"/>
            </w:tcBorders>
            <w:shd w:val="clear" w:color="auto" w:fill="auto"/>
            <w:noWrap/>
            <w:vAlign w:val="center"/>
          </w:tcPr>
          <w:p w14:paraId="473778A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1231" w:type="dxa"/>
            <w:tcBorders>
              <w:top w:val="nil"/>
              <w:left w:val="nil"/>
              <w:bottom w:val="single" w:color="auto" w:sz="4" w:space="0"/>
              <w:right w:val="single" w:color="auto" w:sz="4" w:space="0"/>
            </w:tcBorders>
            <w:shd w:val="clear" w:color="auto" w:fill="auto"/>
            <w:noWrap/>
            <w:vAlign w:val="center"/>
          </w:tcPr>
          <w:p w14:paraId="7FDE80CC">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color w:val="000000"/>
                <w:kern w:val="0"/>
                <w:sz w:val="22"/>
                <w:szCs w:val="22"/>
                <w:u w:val="none"/>
                <w:lang w:val="en-US" w:eastAsia="zh-CN" w:bidi="ar"/>
              </w:rPr>
              <w:t xml:space="preserve">1,959.59 </w:t>
            </w:r>
          </w:p>
        </w:tc>
        <w:tc>
          <w:tcPr>
            <w:tcW w:w="2101" w:type="dxa"/>
            <w:tcBorders>
              <w:top w:val="nil"/>
              <w:left w:val="nil"/>
              <w:bottom w:val="single" w:color="auto" w:sz="4" w:space="0"/>
              <w:right w:val="single" w:color="auto" w:sz="4" w:space="0"/>
            </w:tcBorders>
            <w:shd w:val="clear" w:color="auto" w:fill="auto"/>
            <w:noWrap/>
            <w:vAlign w:val="center"/>
          </w:tcPr>
          <w:p w14:paraId="465715AF">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616" w:type="dxa"/>
            <w:tcBorders>
              <w:top w:val="nil"/>
              <w:left w:val="nil"/>
              <w:bottom w:val="single" w:color="auto" w:sz="4" w:space="0"/>
              <w:right w:val="single" w:color="auto" w:sz="4" w:space="0"/>
            </w:tcBorders>
            <w:shd w:val="clear" w:color="auto" w:fill="auto"/>
            <w:noWrap/>
            <w:vAlign w:val="center"/>
          </w:tcPr>
          <w:p w14:paraId="4D02AB5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1288" w:type="dxa"/>
            <w:tcBorders>
              <w:top w:val="nil"/>
              <w:left w:val="nil"/>
              <w:bottom w:val="single" w:color="auto" w:sz="4" w:space="0"/>
              <w:right w:val="single" w:color="auto" w:sz="4" w:space="0"/>
            </w:tcBorders>
            <w:shd w:val="clear" w:color="auto" w:fill="auto"/>
            <w:noWrap/>
            <w:vAlign w:val="center"/>
          </w:tcPr>
          <w:p w14:paraId="00BC0973">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color w:val="000000"/>
                <w:kern w:val="0"/>
                <w:sz w:val="22"/>
                <w:szCs w:val="22"/>
                <w:u w:val="none"/>
                <w:lang w:val="en-US" w:eastAsia="zh-CN" w:bidi="ar"/>
              </w:rPr>
              <w:t xml:space="preserve">1,959.59 </w:t>
            </w:r>
          </w:p>
        </w:tc>
        <w:tc>
          <w:tcPr>
            <w:tcW w:w="1086" w:type="dxa"/>
            <w:tcBorders>
              <w:top w:val="nil"/>
              <w:left w:val="nil"/>
              <w:bottom w:val="single" w:color="auto" w:sz="4" w:space="0"/>
              <w:right w:val="single" w:color="auto" w:sz="4" w:space="0"/>
            </w:tcBorders>
            <w:shd w:val="clear" w:color="auto" w:fill="auto"/>
            <w:noWrap/>
            <w:vAlign w:val="center"/>
          </w:tcPr>
          <w:p w14:paraId="72D6FFBE">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color w:val="000000"/>
                <w:kern w:val="0"/>
                <w:sz w:val="22"/>
                <w:szCs w:val="22"/>
                <w:u w:val="none"/>
                <w:lang w:val="en-US" w:eastAsia="zh-CN" w:bidi="ar"/>
              </w:rPr>
              <w:t xml:space="preserve">1,959.59 </w:t>
            </w:r>
          </w:p>
        </w:tc>
        <w:tc>
          <w:tcPr>
            <w:tcW w:w="1815" w:type="dxa"/>
            <w:tcBorders>
              <w:top w:val="nil"/>
              <w:left w:val="nil"/>
              <w:bottom w:val="single" w:color="auto" w:sz="4" w:space="0"/>
              <w:right w:val="single" w:color="auto" w:sz="4" w:space="0"/>
            </w:tcBorders>
            <w:shd w:val="clear" w:color="auto" w:fill="auto"/>
            <w:noWrap/>
            <w:vAlign w:val="center"/>
          </w:tcPr>
          <w:p w14:paraId="65C6A5B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noWrap/>
            <w:vAlign w:val="center"/>
          </w:tcPr>
          <w:p w14:paraId="2CBCAF27">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13E6A05E">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320D469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616" w:type="dxa"/>
            <w:tcBorders>
              <w:top w:val="nil"/>
              <w:left w:val="nil"/>
              <w:bottom w:val="single" w:color="auto" w:sz="4" w:space="0"/>
              <w:right w:val="single" w:color="auto" w:sz="4" w:space="0"/>
            </w:tcBorders>
            <w:shd w:val="clear" w:color="auto" w:fill="auto"/>
            <w:noWrap/>
            <w:vAlign w:val="center"/>
          </w:tcPr>
          <w:p w14:paraId="748FCBD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1231" w:type="dxa"/>
            <w:tcBorders>
              <w:top w:val="nil"/>
              <w:left w:val="nil"/>
              <w:bottom w:val="single" w:color="auto" w:sz="4" w:space="0"/>
              <w:right w:val="single" w:color="auto" w:sz="4" w:space="0"/>
            </w:tcBorders>
            <w:shd w:val="clear" w:color="auto" w:fill="auto"/>
            <w:noWrap/>
            <w:vAlign w:val="center"/>
          </w:tcPr>
          <w:p w14:paraId="625FE06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101" w:type="dxa"/>
            <w:tcBorders>
              <w:top w:val="nil"/>
              <w:left w:val="nil"/>
              <w:bottom w:val="single" w:color="auto" w:sz="4" w:space="0"/>
              <w:right w:val="single" w:color="auto" w:sz="4" w:space="0"/>
            </w:tcBorders>
            <w:shd w:val="clear" w:color="auto" w:fill="auto"/>
            <w:noWrap/>
            <w:vAlign w:val="center"/>
          </w:tcPr>
          <w:p w14:paraId="0C97DDF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616" w:type="dxa"/>
            <w:tcBorders>
              <w:top w:val="nil"/>
              <w:left w:val="nil"/>
              <w:bottom w:val="single" w:color="auto" w:sz="4" w:space="0"/>
              <w:right w:val="single" w:color="auto" w:sz="4" w:space="0"/>
            </w:tcBorders>
            <w:shd w:val="clear" w:color="auto" w:fill="auto"/>
            <w:noWrap/>
            <w:vAlign w:val="center"/>
          </w:tcPr>
          <w:p w14:paraId="6886A2A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1288" w:type="dxa"/>
            <w:tcBorders>
              <w:top w:val="nil"/>
              <w:left w:val="nil"/>
              <w:bottom w:val="single" w:color="auto" w:sz="4" w:space="0"/>
              <w:right w:val="single" w:color="auto" w:sz="4" w:space="0"/>
            </w:tcBorders>
            <w:shd w:val="clear" w:color="auto" w:fill="auto"/>
            <w:noWrap/>
            <w:vAlign w:val="center"/>
          </w:tcPr>
          <w:p w14:paraId="1947234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086" w:type="dxa"/>
            <w:tcBorders>
              <w:top w:val="nil"/>
              <w:left w:val="nil"/>
              <w:bottom w:val="single" w:color="auto" w:sz="4" w:space="0"/>
              <w:right w:val="single" w:color="auto" w:sz="4" w:space="0"/>
            </w:tcBorders>
            <w:shd w:val="clear" w:color="auto" w:fill="auto"/>
            <w:noWrap/>
            <w:vAlign w:val="center"/>
          </w:tcPr>
          <w:p w14:paraId="5268163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4B693D5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noWrap/>
            <w:vAlign w:val="center"/>
          </w:tcPr>
          <w:p w14:paraId="07042BA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4389087">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4DE0693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616" w:type="dxa"/>
            <w:tcBorders>
              <w:top w:val="nil"/>
              <w:left w:val="nil"/>
              <w:bottom w:val="single" w:color="auto" w:sz="4" w:space="0"/>
              <w:right w:val="single" w:color="auto" w:sz="4" w:space="0"/>
            </w:tcBorders>
            <w:shd w:val="clear" w:color="auto" w:fill="auto"/>
            <w:noWrap/>
            <w:vAlign w:val="center"/>
          </w:tcPr>
          <w:p w14:paraId="04AEB98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1231" w:type="dxa"/>
            <w:tcBorders>
              <w:top w:val="nil"/>
              <w:left w:val="nil"/>
              <w:bottom w:val="single" w:color="auto" w:sz="4" w:space="0"/>
              <w:right w:val="single" w:color="auto" w:sz="4" w:space="0"/>
            </w:tcBorders>
            <w:shd w:val="clear" w:color="auto" w:fill="auto"/>
            <w:noWrap/>
            <w:vAlign w:val="center"/>
          </w:tcPr>
          <w:p w14:paraId="26D4F88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101" w:type="dxa"/>
            <w:tcBorders>
              <w:top w:val="nil"/>
              <w:left w:val="nil"/>
              <w:bottom w:val="single" w:color="auto" w:sz="4" w:space="0"/>
              <w:right w:val="single" w:color="auto" w:sz="4" w:space="0"/>
            </w:tcBorders>
            <w:shd w:val="clear" w:color="auto" w:fill="auto"/>
            <w:noWrap/>
            <w:vAlign w:val="center"/>
          </w:tcPr>
          <w:p w14:paraId="0C4E3FA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17E1650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1288" w:type="dxa"/>
            <w:tcBorders>
              <w:top w:val="nil"/>
              <w:left w:val="nil"/>
              <w:bottom w:val="single" w:color="auto" w:sz="4" w:space="0"/>
              <w:right w:val="single" w:color="auto" w:sz="4" w:space="0"/>
            </w:tcBorders>
            <w:shd w:val="clear" w:color="auto" w:fill="auto"/>
            <w:noWrap/>
            <w:vAlign w:val="center"/>
          </w:tcPr>
          <w:p w14:paraId="3FCD77C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086" w:type="dxa"/>
            <w:tcBorders>
              <w:top w:val="nil"/>
              <w:left w:val="nil"/>
              <w:bottom w:val="single" w:color="auto" w:sz="4" w:space="0"/>
              <w:right w:val="single" w:color="auto" w:sz="4" w:space="0"/>
            </w:tcBorders>
            <w:shd w:val="clear" w:color="auto" w:fill="auto"/>
            <w:noWrap/>
            <w:vAlign w:val="center"/>
          </w:tcPr>
          <w:p w14:paraId="2055A42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08B3147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noWrap/>
            <w:vAlign w:val="center"/>
          </w:tcPr>
          <w:p w14:paraId="4FB38E6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F5288E6">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3E72193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616" w:type="dxa"/>
            <w:tcBorders>
              <w:top w:val="nil"/>
              <w:left w:val="nil"/>
              <w:bottom w:val="single" w:color="auto" w:sz="4" w:space="0"/>
              <w:right w:val="single" w:color="auto" w:sz="4" w:space="0"/>
            </w:tcBorders>
            <w:shd w:val="clear" w:color="auto" w:fill="auto"/>
            <w:noWrap/>
            <w:vAlign w:val="center"/>
          </w:tcPr>
          <w:p w14:paraId="0D31BC7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1231" w:type="dxa"/>
            <w:tcBorders>
              <w:top w:val="nil"/>
              <w:left w:val="nil"/>
              <w:bottom w:val="single" w:color="auto" w:sz="4" w:space="0"/>
              <w:right w:val="single" w:color="auto" w:sz="4" w:space="0"/>
            </w:tcBorders>
            <w:shd w:val="clear" w:color="auto" w:fill="auto"/>
            <w:noWrap/>
            <w:vAlign w:val="center"/>
          </w:tcPr>
          <w:p w14:paraId="320934C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101" w:type="dxa"/>
            <w:tcBorders>
              <w:top w:val="nil"/>
              <w:left w:val="nil"/>
              <w:bottom w:val="single" w:color="auto" w:sz="4" w:space="0"/>
              <w:right w:val="single" w:color="auto" w:sz="4" w:space="0"/>
            </w:tcBorders>
            <w:shd w:val="clear" w:color="auto" w:fill="auto"/>
            <w:noWrap/>
            <w:vAlign w:val="center"/>
          </w:tcPr>
          <w:p w14:paraId="583C4C1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5C52128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1288" w:type="dxa"/>
            <w:tcBorders>
              <w:top w:val="nil"/>
              <w:left w:val="nil"/>
              <w:bottom w:val="single" w:color="auto" w:sz="4" w:space="0"/>
              <w:right w:val="single" w:color="auto" w:sz="4" w:space="0"/>
            </w:tcBorders>
            <w:shd w:val="clear" w:color="auto" w:fill="auto"/>
            <w:noWrap/>
            <w:vAlign w:val="center"/>
          </w:tcPr>
          <w:p w14:paraId="352DC78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086" w:type="dxa"/>
            <w:tcBorders>
              <w:top w:val="nil"/>
              <w:left w:val="nil"/>
              <w:bottom w:val="single" w:color="auto" w:sz="4" w:space="0"/>
              <w:right w:val="single" w:color="auto" w:sz="4" w:space="0"/>
            </w:tcBorders>
            <w:shd w:val="clear" w:color="auto" w:fill="auto"/>
            <w:noWrap/>
            <w:vAlign w:val="center"/>
          </w:tcPr>
          <w:p w14:paraId="185241D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3C690C5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noWrap/>
            <w:vAlign w:val="center"/>
          </w:tcPr>
          <w:p w14:paraId="198A5F4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24EB1D2">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76DB6B3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616" w:type="dxa"/>
            <w:tcBorders>
              <w:top w:val="nil"/>
              <w:left w:val="nil"/>
              <w:bottom w:val="single" w:color="auto" w:sz="4" w:space="0"/>
              <w:right w:val="single" w:color="auto" w:sz="4" w:space="0"/>
            </w:tcBorders>
            <w:shd w:val="clear" w:color="auto" w:fill="auto"/>
            <w:noWrap/>
            <w:vAlign w:val="center"/>
          </w:tcPr>
          <w:p w14:paraId="7DA07AB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1231" w:type="dxa"/>
            <w:tcBorders>
              <w:top w:val="nil"/>
              <w:left w:val="nil"/>
              <w:bottom w:val="single" w:color="auto" w:sz="4" w:space="0"/>
              <w:right w:val="single" w:color="auto" w:sz="4" w:space="0"/>
            </w:tcBorders>
            <w:shd w:val="clear" w:color="auto" w:fill="auto"/>
            <w:noWrap/>
            <w:vAlign w:val="center"/>
          </w:tcPr>
          <w:p w14:paraId="5F4D26B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101" w:type="dxa"/>
            <w:tcBorders>
              <w:top w:val="nil"/>
              <w:left w:val="nil"/>
              <w:bottom w:val="single" w:color="auto" w:sz="4" w:space="0"/>
              <w:right w:val="single" w:color="auto" w:sz="4" w:space="0"/>
            </w:tcBorders>
            <w:shd w:val="clear" w:color="auto" w:fill="auto"/>
            <w:noWrap/>
            <w:vAlign w:val="center"/>
          </w:tcPr>
          <w:p w14:paraId="21D9847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426E5B8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1288" w:type="dxa"/>
            <w:tcBorders>
              <w:top w:val="nil"/>
              <w:left w:val="nil"/>
              <w:bottom w:val="single" w:color="auto" w:sz="4" w:space="0"/>
              <w:right w:val="single" w:color="auto" w:sz="4" w:space="0"/>
            </w:tcBorders>
            <w:shd w:val="clear" w:color="auto" w:fill="auto"/>
            <w:noWrap/>
            <w:vAlign w:val="center"/>
          </w:tcPr>
          <w:p w14:paraId="244925A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086" w:type="dxa"/>
            <w:tcBorders>
              <w:top w:val="nil"/>
              <w:left w:val="nil"/>
              <w:bottom w:val="single" w:color="auto" w:sz="4" w:space="0"/>
              <w:right w:val="single" w:color="auto" w:sz="4" w:space="0"/>
            </w:tcBorders>
            <w:shd w:val="clear" w:color="auto" w:fill="auto"/>
            <w:noWrap/>
            <w:vAlign w:val="center"/>
          </w:tcPr>
          <w:p w14:paraId="6A43C08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7B118D7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noWrap/>
            <w:vAlign w:val="center"/>
          </w:tcPr>
          <w:p w14:paraId="0CAE449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BC23DD5">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000000" w:fill="FFFFFF"/>
            <w:noWrap/>
            <w:vAlign w:val="center"/>
          </w:tcPr>
          <w:p w14:paraId="3322A9BF">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noWrap/>
            <w:vAlign w:val="center"/>
          </w:tcPr>
          <w:p w14:paraId="65625E5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1231" w:type="dxa"/>
            <w:tcBorders>
              <w:top w:val="nil"/>
              <w:left w:val="nil"/>
              <w:bottom w:val="single" w:color="auto" w:sz="4" w:space="0"/>
              <w:right w:val="single" w:color="auto" w:sz="4" w:space="0"/>
            </w:tcBorders>
            <w:shd w:val="clear" w:color="auto" w:fill="auto"/>
            <w:noWrap/>
            <w:vAlign w:val="center"/>
          </w:tcPr>
          <w:p w14:paraId="2AC6A868">
            <w:pPr>
              <w:widowControl/>
              <w:jc w:val="right"/>
              <w:rPr>
                <w:rFonts w:ascii="Times New Roman" w:hAnsi="Times New Roman" w:eastAsia="仿宋_GB2312" w:cs="Times New Roman"/>
                <w:kern w:val="0"/>
                <w:sz w:val="22"/>
              </w:rPr>
            </w:pPr>
            <w:r>
              <w:rPr>
                <w:rFonts w:hint="eastAsia" w:ascii="宋体" w:hAnsi="宋体" w:eastAsia="宋体" w:cs="宋体"/>
                <w:i w:val="0"/>
                <w:color w:val="000000"/>
                <w:kern w:val="0"/>
                <w:sz w:val="22"/>
                <w:szCs w:val="22"/>
                <w:u w:val="none"/>
                <w:lang w:val="en-US" w:eastAsia="zh-CN" w:bidi="ar"/>
              </w:rPr>
              <w:t>1,959.59</w:t>
            </w:r>
            <w:r>
              <w:rPr>
                <w:rFonts w:ascii="Times New Roman" w:hAnsi="Times New Roman" w:eastAsia="仿宋_GB2312" w:cs="Times New Roman"/>
                <w:kern w:val="0"/>
                <w:sz w:val="22"/>
              </w:rPr>
              <w:t>　</w:t>
            </w:r>
          </w:p>
        </w:tc>
        <w:tc>
          <w:tcPr>
            <w:tcW w:w="2101" w:type="dxa"/>
            <w:tcBorders>
              <w:top w:val="nil"/>
              <w:left w:val="nil"/>
              <w:bottom w:val="single" w:color="auto" w:sz="4" w:space="0"/>
              <w:right w:val="single" w:color="auto" w:sz="4" w:space="0"/>
            </w:tcBorders>
            <w:shd w:val="clear" w:color="000000" w:fill="FFFFFF"/>
            <w:noWrap/>
            <w:vAlign w:val="center"/>
          </w:tcPr>
          <w:p w14:paraId="47E0804D">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noWrap/>
            <w:vAlign w:val="center"/>
          </w:tcPr>
          <w:p w14:paraId="70C6431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1288" w:type="dxa"/>
            <w:tcBorders>
              <w:top w:val="nil"/>
              <w:left w:val="nil"/>
              <w:bottom w:val="single" w:color="auto" w:sz="4" w:space="0"/>
              <w:right w:val="single" w:color="auto" w:sz="4" w:space="0"/>
            </w:tcBorders>
            <w:shd w:val="clear" w:color="000000" w:fill="FFFFFF"/>
            <w:noWrap/>
            <w:vAlign w:val="center"/>
          </w:tcPr>
          <w:p w14:paraId="1EC13FE4">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color w:val="000000"/>
                <w:kern w:val="0"/>
                <w:sz w:val="22"/>
                <w:szCs w:val="22"/>
                <w:u w:val="none"/>
                <w:lang w:val="en-US" w:eastAsia="zh-CN" w:bidi="ar"/>
              </w:rPr>
              <w:t xml:space="preserve">1,959.59 </w:t>
            </w:r>
          </w:p>
        </w:tc>
        <w:tc>
          <w:tcPr>
            <w:tcW w:w="1086" w:type="dxa"/>
            <w:tcBorders>
              <w:top w:val="nil"/>
              <w:left w:val="nil"/>
              <w:bottom w:val="single" w:color="auto" w:sz="4" w:space="0"/>
              <w:right w:val="single" w:color="auto" w:sz="4" w:space="0"/>
            </w:tcBorders>
            <w:shd w:val="clear" w:color="000000" w:fill="FFFFFF"/>
            <w:noWrap/>
            <w:vAlign w:val="center"/>
          </w:tcPr>
          <w:p w14:paraId="03A819C0">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color w:val="000000"/>
                <w:kern w:val="0"/>
                <w:sz w:val="22"/>
                <w:szCs w:val="22"/>
                <w:u w:val="none"/>
                <w:lang w:val="en-US" w:eastAsia="zh-CN" w:bidi="ar"/>
              </w:rPr>
              <w:t xml:space="preserve">1,959.59 </w:t>
            </w:r>
          </w:p>
        </w:tc>
        <w:tc>
          <w:tcPr>
            <w:tcW w:w="1815" w:type="dxa"/>
            <w:tcBorders>
              <w:top w:val="nil"/>
              <w:left w:val="nil"/>
              <w:bottom w:val="single" w:color="auto" w:sz="4" w:space="0"/>
              <w:right w:val="single" w:color="auto" w:sz="4" w:space="0"/>
            </w:tcBorders>
            <w:shd w:val="clear" w:color="auto" w:fill="auto"/>
            <w:noWrap/>
            <w:vAlign w:val="center"/>
          </w:tcPr>
          <w:p w14:paraId="1647B775">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1951" w:type="dxa"/>
            <w:tcBorders>
              <w:top w:val="nil"/>
              <w:left w:val="nil"/>
              <w:bottom w:val="single" w:color="auto" w:sz="4" w:space="0"/>
              <w:right w:val="single" w:color="auto" w:sz="4" w:space="0"/>
            </w:tcBorders>
            <w:shd w:val="clear" w:color="auto" w:fill="auto"/>
            <w:noWrap/>
            <w:vAlign w:val="center"/>
          </w:tcPr>
          <w:p w14:paraId="6E8E18A3">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04B24902">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43C8F927">
      <w:pPr>
        <w:widowControl/>
        <w:jc w:val="center"/>
        <w:rPr>
          <w:rFonts w:ascii="Times New Roman" w:hAnsi="Times New Roman" w:eastAsia="方正小标宋_GBK" w:cs="Times New Roman"/>
          <w:kern w:val="0"/>
          <w:sz w:val="36"/>
          <w:szCs w:val="36"/>
        </w:rPr>
      </w:pPr>
    </w:p>
    <w:p w14:paraId="7670174A">
      <w:pPr>
        <w:pStyle w:val="2"/>
        <w:rPr>
          <w:rFonts w:ascii="Times New Roman" w:hAnsi="Times New Roman" w:eastAsia="方正小标宋_GBK" w:cs="Times New Roman"/>
          <w:kern w:val="0"/>
          <w:sz w:val="36"/>
          <w:szCs w:val="36"/>
        </w:rPr>
      </w:pPr>
    </w:p>
    <w:p w14:paraId="59E35C8E">
      <w:pPr>
        <w:pStyle w:val="3"/>
        <w:rPr>
          <w:rFonts w:ascii="Times New Roman" w:hAnsi="Times New Roman" w:eastAsia="方正小标宋_GBK" w:cs="Times New Roman"/>
          <w:kern w:val="0"/>
          <w:sz w:val="36"/>
          <w:szCs w:val="36"/>
        </w:rPr>
      </w:pPr>
    </w:p>
    <w:p w14:paraId="5CF28FF6">
      <w:pPr>
        <w:rPr>
          <w:rFonts w:ascii="Times New Roman" w:hAnsi="Times New Roman" w:eastAsia="方正小标宋_GBK" w:cs="Times New Roman"/>
          <w:kern w:val="0"/>
          <w:sz w:val="36"/>
          <w:szCs w:val="36"/>
        </w:rPr>
      </w:pPr>
    </w:p>
    <w:p w14:paraId="6E7C331E">
      <w:pPr>
        <w:pStyle w:val="2"/>
        <w:rPr>
          <w:rFonts w:ascii="Times New Roman" w:hAnsi="Times New Roman" w:eastAsia="方正小标宋_GBK" w:cs="Times New Roman"/>
          <w:kern w:val="0"/>
          <w:sz w:val="36"/>
          <w:szCs w:val="36"/>
        </w:rPr>
      </w:pPr>
    </w:p>
    <w:p w14:paraId="1B8CBF43">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黑体" w:cs="Times New Roman"/>
          <w:color w:val="000000"/>
          <w:kern w:val="0"/>
          <w:sz w:val="36"/>
          <w:szCs w:val="36"/>
          <w:lang w:bidi="ar"/>
        </w:rPr>
        <w:t>一般公共预算财政拨款支出决算表</w:t>
      </w:r>
      <w:bookmarkEnd w:id="1"/>
      <w:r>
        <w:rPr>
          <w:rFonts w:ascii="Times New Roman" w:hAnsi="Times New Roman" w:eastAsia="仿宋_GB2312" w:cs="Times New Roman"/>
          <w:color w:val="000000"/>
          <w:kern w:val="0"/>
          <w:sz w:val="20"/>
          <w:szCs w:val="20"/>
        </w:rPr>
        <w:t xml:space="preserve">                                                                                                                  </w:t>
      </w:r>
      <w:r>
        <w:rPr>
          <w:rFonts w:hint="eastAsia" w:ascii="Times New Roman" w:hAnsi="Times New Roman" w:eastAsia="仿宋_GB2312" w:cs="Times New Roman"/>
          <w:color w:val="000000"/>
          <w:kern w:val="0"/>
          <w:sz w:val="20"/>
          <w:szCs w:val="20"/>
          <w:lang w:val="en-US" w:eastAsia="zh-CN"/>
        </w:rPr>
        <w:t xml:space="preserve">                                   </w:t>
      </w:r>
    </w:p>
    <w:p w14:paraId="5D027669">
      <w:pPr>
        <w:widowControl/>
        <w:spacing w:line="600" w:lineRule="exact"/>
        <w:ind w:firstLine="400" w:firstLineChars="200"/>
        <w:rPr>
          <w:rFonts w:hint="default" w:ascii="仿宋" w:hAnsi="仿宋" w:eastAsia="仿宋" w:cs="仿宋"/>
          <w:bCs/>
          <w:kern w:val="0"/>
          <w:sz w:val="24"/>
          <w:szCs w:val="24"/>
          <w:lang w:val="en-US" w:eastAsia="zh-CN"/>
        </w:rPr>
      </w:pPr>
      <w:r>
        <w:rPr>
          <w:rFonts w:ascii="Times New Roman" w:hAnsi="Times New Roman" w:eastAsia="仿宋_GB2312" w:cs="Times New Roman"/>
          <w:color w:val="000000"/>
          <w:kern w:val="0"/>
          <w:sz w:val="20"/>
          <w:szCs w:val="20"/>
        </w:rPr>
        <w:t>部门：</w:t>
      </w:r>
      <w:r>
        <w:rPr>
          <w:rFonts w:hint="eastAsia" w:ascii="仿宋" w:hAnsi="仿宋" w:eastAsia="仿宋" w:cs="仿宋"/>
          <w:bCs/>
          <w:kern w:val="0"/>
          <w:sz w:val="22"/>
          <w:szCs w:val="22"/>
          <w:lang w:eastAsia="zh-CN"/>
        </w:rPr>
        <w:t>蓝山县数据局（蓝山县</w:t>
      </w:r>
      <w:r>
        <w:rPr>
          <w:rFonts w:hint="eastAsia" w:ascii="仿宋" w:hAnsi="仿宋" w:eastAsia="仿宋" w:cs="仿宋"/>
          <w:bCs/>
          <w:kern w:val="0"/>
          <w:sz w:val="22"/>
          <w:szCs w:val="22"/>
          <w:lang w:val="en-US" w:eastAsia="zh-CN"/>
        </w:rPr>
        <w:t>行政审批服务局</w:t>
      </w:r>
      <w:r>
        <w:rPr>
          <w:rFonts w:hint="eastAsia" w:ascii="仿宋" w:hAnsi="仿宋" w:eastAsia="仿宋" w:cs="仿宋"/>
          <w:bCs/>
          <w:kern w:val="0"/>
          <w:sz w:val="22"/>
          <w:szCs w:val="22"/>
          <w:lang w:eastAsia="zh-CN"/>
        </w:rPr>
        <w:t>）</w:t>
      </w:r>
      <w:r>
        <w:rPr>
          <w:rFonts w:hint="eastAsia" w:ascii="仿宋" w:hAnsi="仿宋" w:eastAsia="仿宋" w:cs="仿宋"/>
          <w:bCs/>
          <w:kern w:val="0"/>
          <w:sz w:val="22"/>
          <w:szCs w:val="22"/>
        </w:rPr>
        <w:t>单位本级</w:t>
      </w:r>
      <w:r>
        <w:rPr>
          <w:rFonts w:hint="eastAsia" w:ascii="仿宋" w:hAnsi="仿宋" w:eastAsia="仿宋" w:cs="仿宋"/>
          <w:bCs/>
          <w:kern w:val="0"/>
          <w:sz w:val="22"/>
          <w:szCs w:val="22"/>
          <w:lang w:val="en-US" w:eastAsia="zh-CN"/>
        </w:rPr>
        <w:t xml:space="preserve">                                                           </w:t>
      </w:r>
      <w:r>
        <w:rPr>
          <w:rFonts w:ascii="Times New Roman" w:hAnsi="Times New Roman" w:eastAsia="仿宋_GB2312" w:cs="Times New Roman"/>
          <w:color w:val="000000"/>
          <w:kern w:val="0"/>
          <w:sz w:val="20"/>
          <w:szCs w:val="20"/>
        </w:rPr>
        <w:t>公开0</w:t>
      </w:r>
      <w:r>
        <w:rPr>
          <w:rFonts w:hint="eastAsia" w:ascii="Times New Roman" w:hAnsi="Times New Roman" w:eastAsia="仿宋_GB2312" w:cs="Times New Roman"/>
          <w:color w:val="000000"/>
          <w:kern w:val="0"/>
          <w:sz w:val="20"/>
          <w:szCs w:val="20"/>
          <w:lang w:val="en-US" w:eastAsia="zh-CN"/>
        </w:rPr>
        <w:t>5</w:t>
      </w:r>
      <w:r>
        <w:rPr>
          <w:rFonts w:ascii="Times New Roman" w:hAnsi="Times New Roman" w:eastAsia="仿宋_GB2312" w:cs="Times New Roman"/>
          <w:color w:val="000000"/>
          <w:kern w:val="0"/>
          <w:sz w:val="20"/>
          <w:szCs w:val="20"/>
        </w:rPr>
        <w:t>表</w:t>
      </w:r>
    </w:p>
    <w:p w14:paraId="1AA88ED0">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9"/>
        <w:tblW w:w="14219" w:type="dxa"/>
        <w:jc w:val="center"/>
        <w:tblLayout w:type="fixed"/>
        <w:tblCellMar>
          <w:top w:w="0" w:type="dxa"/>
          <w:left w:w="108" w:type="dxa"/>
          <w:bottom w:w="0" w:type="dxa"/>
          <w:right w:w="108" w:type="dxa"/>
        </w:tblCellMar>
      </w:tblPr>
      <w:tblGrid>
        <w:gridCol w:w="1200"/>
        <w:gridCol w:w="3527"/>
        <w:gridCol w:w="3000"/>
        <w:gridCol w:w="3492"/>
        <w:gridCol w:w="3000"/>
      </w:tblGrid>
      <w:tr w14:paraId="228CC899">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41B3805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1F303CD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65B2DF75">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53D8892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526FB374">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40AAF632">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4B9482B2">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7FDAFD6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3D166280">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34E29B7F">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1A2A99DC">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70A1E695">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513DB8A7">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65F268F9">
            <w:pPr>
              <w:widowControl/>
              <w:jc w:val="left"/>
              <w:rPr>
                <w:rFonts w:ascii="Times New Roman" w:hAnsi="Times New Roman" w:eastAsia="仿宋_GB2312" w:cs="Times New Roman"/>
                <w:kern w:val="0"/>
                <w:szCs w:val="21"/>
              </w:rPr>
            </w:pPr>
          </w:p>
        </w:tc>
      </w:tr>
      <w:tr w14:paraId="6B682EE9">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5EB98C40">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265CD2A7">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4FAD23CC">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4C6A7CC0">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1D9EAD09">
            <w:pPr>
              <w:widowControl/>
              <w:jc w:val="left"/>
              <w:rPr>
                <w:rFonts w:ascii="Times New Roman" w:hAnsi="Times New Roman" w:eastAsia="仿宋_GB2312" w:cs="Times New Roman"/>
                <w:kern w:val="0"/>
                <w:szCs w:val="21"/>
              </w:rPr>
            </w:pPr>
          </w:p>
        </w:tc>
      </w:tr>
      <w:tr w14:paraId="78ABA54F">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5747AD7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3FA3FB0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0B9D4E5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03E07F5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0F5FC985">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2D40E98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0ADD0FC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1,959.59 </w:t>
            </w:r>
          </w:p>
        </w:tc>
        <w:tc>
          <w:tcPr>
            <w:tcW w:w="3492" w:type="dxa"/>
            <w:tcBorders>
              <w:top w:val="nil"/>
              <w:left w:val="nil"/>
              <w:bottom w:val="single" w:color="auto" w:sz="4" w:space="0"/>
              <w:right w:val="single" w:color="auto" w:sz="4" w:space="0"/>
            </w:tcBorders>
            <w:shd w:val="clear" w:color="auto" w:fill="auto"/>
            <w:vAlign w:val="center"/>
          </w:tcPr>
          <w:p w14:paraId="387BA9B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765.21 </w:t>
            </w:r>
          </w:p>
        </w:tc>
        <w:tc>
          <w:tcPr>
            <w:tcW w:w="3000" w:type="dxa"/>
            <w:tcBorders>
              <w:top w:val="nil"/>
              <w:left w:val="nil"/>
              <w:bottom w:val="single" w:color="auto" w:sz="4" w:space="0"/>
              <w:right w:val="single" w:color="auto" w:sz="8" w:space="0"/>
            </w:tcBorders>
            <w:shd w:val="clear" w:color="auto" w:fill="auto"/>
            <w:vAlign w:val="center"/>
          </w:tcPr>
          <w:p w14:paraId="2060F12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1,194.37 </w:t>
            </w:r>
          </w:p>
        </w:tc>
      </w:tr>
      <w:tr w14:paraId="1FE7BC9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78BA52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201</w:t>
            </w:r>
          </w:p>
        </w:tc>
        <w:tc>
          <w:tcPr>
            <w:tcW w:w="3527" w:type="dxa"/>
            <w:tcBorders>
              <w:top w:val="nil"/>
              <w:left w:val="nil"/>
              <w:bottom w:val="single" w:color="auto" w:sz="4" w:space="0"/>
              <w:right w:val="single" w:color="auto" w:sz="4" w:space="0"/>
            </w:tcBorders>
            <w:shd w:val="clear" w:color="auto" w:fill="auto"/>
            <w:vAlign w:val="center"/>
          </w:tcPr>
          <w:p w14:paraId="6A8FEF0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一般公共服务支出</w:t>
            </w:r>
          </w:p>
        </w:tc>
        <w:tc>
          <w:tcPr>
            <w:tcW w:w="3000" w:type="dxa"/>
            <w:tcBorders>
              <w:top w:val="nil"/>
              <w:left w:val="nil"/>
              <w:bottom w:val="single" w:color="auto" w:sz="4" w:space="0"/>
              <w:right w:val="single" w:color="auto" w:sz="4" w:space="0"/>
            </w:tcBorders>
            <w:shd w:val="clear" w:color="auto" w:fill="auto"/>
            <w:vAlign w:val="center"/>
          </w:tcPr>
          <w:p w14:paraId="5EC6ACB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1,959.59 </w:t>
            </w:r>
          </w:p>
        </w:tc>
        <w:tc>
          <w:tcPr>
            <w:tcW w:w="3492" w:type="dxa"/>
            <w:tcBorders>
              <w:top w:val="nil"/>
              <w:left w:val="nil"/>
              <w:bottom w:val="single" w:color="auto" w:sz="4" w:space="0"/>
              <w:right w:val="single" w:color="auto" w:sz="4" w:space="0"/>
            </w:tcBorders>
            <w:shd w:val="clear" w:color="auto" w:fill="auto"/>
            <w:vAlign w:val="center"/>
          </w:tcPr>
          <w:p w14:paraId="4A24C6D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765.21 </w:t>
            </w:r>
          </w:p>
        </w:tc>
        <w:tc>
          <w:tcPr>
            <w:tcW w:w="3000" w:type="dxa"/>
            <w:tcBorders>
              <w:top w:val="nil"/>
              <w:left w:val="nil"/>
              <w:bottom w:val="single" w:color="auto" w:sz="4" w:space="0"/>
              <w:right w:val="single" w:color="auto" w:sz="8" w:space="0"/>
            </w:tcBorders>
            <w:shd w:val="clear" w:color="auto" w:fill="auto"/>
            <w:vAlign w:val="center"/>
          </w:tcPr>
          <w:p w14:paraId="40B14A5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1,194.37 </w:t>
            </w:r>
          </w:p>
        </w:tc>
      </w:tr>
      <w:tr w14:paraId="6976C03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029E4B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20141</w:t>
            </w:r>
          </w:p>
        </w:tc>
        <w:tc>
          <w:tcPr>
            <w:tcW w:w="3527" w:type="dxa"/>
            <w:tcBorders>
              <w:top w:val="nil"/>
              <w:left w:val="nil"/>
              <w:bottom w:val="single" w:color="auto" w:sz="4" w:space="0"/>
              <w:right w:val="single" w:color="auto" w:sz="4" w:space="0"/>
            </w:tcBorders>
            <w:shd w:val="clear" w:color="auto" w:fill="auto"/>
            <w:vAlign w:val="center"/>
          </w:tcPr>
          <w:p w14:paraId="3FC4F35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数据事务</w:t>
            </w:r>
          </w:p>
        </w:tc>
        <w:tc>
          <w:tcPr>
            <w:tcW w:w="3000" w:type="dxa"/>
            <w:tcBorders>
              <w:top w:val="nil"/>
              <w:left w:val="nil"/>
              <w:bottom w:val="single" w:color="auto" w:sz="4" w:space="0"/>
              <w:right w:val="single" w:color="auto" w:sz="4" w:space="0"/>
            </w:tcBorders>
            <w:shd w:val="clear" w:color="auto" w:fill="auto"/>
            <w:vAlign w:val="center"/>
          </w:tcPr>
          <w:p w14:paraId="5B3DCE7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1,959.59 </w:t>
            </w:r>
          </w:p>
        </w:tc>
        <w:tc>
          <w:tcPr>
            <w:tcW w:w="3492" w:type="dxa"/>
            <w:tcBorders>
              <w:top w:val="nil"/>
              <w:left w:val="nil"/>
              <w:bottom w:val="single" w:color="auto" w:sz="4" w:space="0"/>
              <w:right w:val="single" w:color="auto" w:sz="4" w:space="0"/>
            </w:tcBorders>
            <w:shd w:val="clear" w:color="auto" w:fill="auto"/>
            <w:vAlign w:val="center"/>
          </w:tcPr>
          <w:p w14:paraId="3BAD930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765.21 </w:t>
            </w:r>
          </w:p>
        </w:tc>
        <w:tc>
          <w:tcPr>
            <w:tcW w:w="3000" w:type="dxa"/>
            <w:tcBorders>
              <w:top w:val="nil"/>
              <w:left w:val="nil"/>
              <w:bottom w:val="single" w:color="auto" w:sz="4" w:space="0"/>
              <w:right w:val="single" w:color="auto" w:sz="8" w:space="0"/>
            </w:tcBorders>
            <w:shd w:val="clear" w:color="auto" w:fill="auto"/>
            <w:vAlign w:val="center"/>
          </w:tcPr>
          <w:p w14:paraId="564B484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1,194.37 </w:t>
            </w:r>
          </w:p>
        </w:tc>
      </w:tr>
      <w:tr w14:paraId="3E4A6EE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D30353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2014101</w:t>
            </w:r>
          </w:p>
        </w:tc>
        <w:tc>
          <w:tcPr>
            <w:tcW w:w="3527" w:type="dxa"/>
            <w:tcBorders>
              <w:top w:val="nil"/>
              <w:left w:val="nil"/>
              <w:bottom w:val="single" w:color="auto" w:sz="4" w:space="0"/>
              <w:right w:val="single" w:color="auto" w:sz="4" w:space="0"/>
            </w:tcBorders>
            <w:shd w:val="clear" w:color="auto" w:fill="auto"/>
            <w:vAlign w:val="center"/>
          </w:tcPr>
          <w:p w14:paraId="03421B2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行政运行</w:t>
            </w:r>
          </w:p>
        </w:tc>
        <w:tc>
          <w:tcPr>
            <w:tcW w:w="3000" w:type="dxa"/>
            <w:tcBorders>
              <w:top w:val="nil"/>
              <w:left w:val="nil"/>
              <w:bottom w:val="single" w:color="auto" w:sz="4" w:space="0"/>
              <w:right w:val="single" w:color="auto" w:sz="4" w:space="0"/>
            </w:tcBorders>
            <w:shd w:val="clear" w:color="auto" w:fill="auto"/>
            <w:vAlign w:val="center"/>
          </w:tcPr>
          <w:p w14:paraId="576390F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765.21 </w:t>
            </w:r>
          </w:p>
        </w:tc>
        <w:tc>
          <w:tcPr>
            <w:tcW w:w="3492" w:type="dxa"/>
            <w:tcBorders>
              <w:top w:val="nil"/>
              <w:left w:val="nil"/>
              <w:bottom w:val="single" w:color="auto" w:sz="4" w:space="0"/>
              <w:right w:val="single" w:color="auto" w:sz="4" w:space="0"/>
            </w:tcBorders>
            <w:shd w:val="clear" w:color="auto" w:fill="auto"/>
            <w:vAlign w:val="center"/>
          </w:tcPr>
          <w:p w14:paraId="12CB75D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765.21 </w:t>
            </w:r>
          </w:p>
        </w:tc>
        <w:tc>
          <w:tcPr>
            <w:tcW w:w="3000" w:type="dxa"/>
            <w:tcBorders>
              <w:top w:val="nil"/>
              <w:left w:val="nil"/>
              <w:bottom w:val="single" w:color="auto" w:sz="4" w:space="0"/>
              <w:right w:val="single" w:color="auto" w:sz="8" w:space="0"/>
            </w:tcBorders>
            <w:shd w:val="clear" w:color="auto" w:fill="auto"/>
            <w:vAlign w:val="center"/>
          </w:tcPr>
          <w:p w14:paraId="4D5B241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1,194.37 </w:t>
            </w:r>
          </w:p>
        </w:tc>
      </w:tr>
      <w:tr w14:paraId="2C0A609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111F65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2014199</w:t>
            </w:r>
          </w:p>
        </w:tc>
        <w:tc>
          <w:tcPr>
            <w:tcW w:w="3527" w:type="dxa"/>
            <w:tcBorders>
              <w:top w:val="nil"/>
              <w:left w:val="nil"/>
              <w:bottom w:val="single" w:color="auto" w:sz="4" w:space="0"/>
              <w:right w:val="single" w:color="auto" w:sz="4" w:space="0"/>
            </w:tcBorders>
            <w:shd w:val="clear" w:color="auto" w:fill="auto"/>
            <w:vAlign w:val="center"/>
          </w:tcPr>
          <w:p w14:paraId="71E61DF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其他数据事务支出</w:t>
            </w:r>
          </w:p>
        </w:tc>
        <w:tc>
          <w:tcPr>
            <w:tcW w:w="3000" w:type="dxa"/>
            <w:tcBorders>
              <w:top w:val="nil"/>
              <w:left w:val="nil"/>
              <w:bottom w:val="single" w:color="auto" w:sz="4" w:space="0"/>
              <w:right w:val="single" w:color="auto" w:sz="4" w:space="0"/>
            </w:tcBorders>
            <w:shd w:val="clear" w:color="auto" w:fill="auto"/>
            <w:vAlign w:val="center"/>
          </w:tcPr>
          <w:p w14:paraId="1E375A3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1,194.37 </w:t>
            </w:r>
          </w:p>
        </w:tc>
        <w:tc>
          <w:tcPr>
            <w:tcW w:w="3492" w:type="dxa"/>
            <w:tcBorders>
              <w:top w:val="nil"/>
              <w:left w:val="nil"/>
              <w:bottom w:val="single" w:color="auto" w:sz="4" w:space="0"/>
              <w:right w:val="single" w:color="auto" w:sz="4" w:space="0"/>
            </w:tcBorders>
            <w:shd w:val="clear" w:color="auto" w:fill="auto"/>
            <w:vAlign w:val="center"/>
          </w:tcPr>
          <w:p w14:paraId="76757A5E">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756F65F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1,194.37 </w:t>
            </w:r>
          </w:p>
        </w:tc>
      </w:tr>
      <w:tr w14:paraId="6F738AF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20B4F3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14:paraId="084014BB">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14:paraId="27BFA80D">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2FC33D70">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11D6CAB8">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05EE46B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7177E2A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8" w:space="0"/>
              <w:right w:val="single" w:color="auto" w:sz="4" w:space="0"/>
            </w:tcBorders>
            <w:shd w:val="clear" w:color="auto" w:fill="auto"/>
            <w:vAlign w:val="center"/>
          </w:tcPr>
          <w:p w14:paraId="0267973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4" w:space="0"/>
            </w:tcBorders>
            <w:shd w:val="clear" w:color="auto" w:fill="auto"/>
            <w:vAlign w:val="center"/>
          </w:tcPr>
          <w:p w14:paraId="4EC97300">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8" w:space="0"/>
              <w:right w:val="single" w:color="auto" w:sz="4" w:space="0"/>
            </w:tcBorders>
            <w:shd w:val="clear" w:color="auto" w:fill="auto"/>
            <w:vAlign w:val="center"/>
          </w:tcPr>
          <w:p w14:paraId="70E8CD3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8" w:space="0"/>
            </w:tcBorders>
            <w:shd w:val="clear" w:color="auto" w:fill="auto"/>
            <w:vAlign w:val="center"/>
          </w:tcPr>
          <w:p w14:paraId="4A05166F">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bl>
    <w:p w14:paraId="4835201F">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7AD5F5B8">
      <w:pPr>
        <w:widowControl/>
        <w:jc w:val="left"/>
        <w:rPr>
          <w:rFonts w:ascii="Times New Roman" w:hAnsi="Times New Roman" w:eastAsia="仿宋_GB2312" w:cs="Times New Roman"/>
          <w:bCs/>
          <w:kern w:val="0"/>
          <w:szCs w:val="21"/>
        </w:rPr>
      </w:pPr>
    </w:p>
    <w:p w14:paraId="716FC5EE">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32AEBBB9">
      <w:pPr>
        <w:widowControl/>
        <w:spacing w:after="120"/>
        <w:jc w:val="center"/>
        <w:textAlignment w:val="center"/>
        <w:rPr>
          <w:rFonts w:hint="eastAsia" w:ascii="仿宋" w:hAnsi="仿宋" w:eastAsia="仿宋" w:cs="仿宋"/>
          <w:bCs/>
          <w:kern w:val="0"/>
          <w:sz w:val="24"/>
          <w:szCs w:val="24"/>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00FFEFCA">
      <w:pPr>
        <w:widowControl/>
        <w:spacing w:after="120"/>
        <w:jc w:val="right"/>
        <w:textAlignment w:val="center"/>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公开06表</w:t>
      </w:r>
    </w:p>
    <w:p w14:paraId="0C60FB17">
      <w:pPr>
        <w:widowControl/>
        <w:spacing w:line="240" w:lineRule="exact"/>
        <w:jc w:val="lef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eastAsia="zh-CN"/>
        </w:rPr>
        <w:t>部门：</w:t>
      </w:r>
      <w:r>
        <w:rPr>
          <w:rFonts w:hint="eastAsia" w:ascii="仿宋" w:hAnsi="仿宋" w:eastAsia="仿宋" w:cs="仿宋"/>
          <w:bCs/>
          <w:kern w:val="0"/>
          <w:sz w:val="22"/>
          <w:szCs w:val="22"/>
          <w:lang w:eastAsia="zh-CN"/>
        </w:rPr>
        <w:t>蓝山县数据局（蓝山县</w:t>
      </w:r>
      <w:r>
        <w:rPr>
          <w:rFonts w:hint="eastAsia" w:ascii="仿宋" w:hAnsi="仿宋" w:eastAsia="仿宋" w:cs="仿宋"/>
          <w:bCs/>
          <w:kern w:val="0"/>
          <w:sz w:val="22"/>
          <w:szCs w:val="22"/>
          <w:lang w:val="en-US" w:eastAsia="zh-CN"/>
        </w:rPr>
        <w:t>行政审批服务局</w:t>
      </w:r>
      <w:r>
        <w:rPr>
          <w:rFonts w:hint="eastAsia" w:ascii="仿宋" w:hAnsi="仿宋" w:eastAsia="仿宋" w:cs="仿宋"/>
          <w:bCs/>
          <w:kern w:val="0"/>
          <w:sz w:val="22"/>
          <w:szCs w:val="22"/>
          <w:lang w:eastAsia="zh-CN"/>
        </w:rPr>
        <w:t>）</w:t>
      </w:r>
      <w:r>
        <w:rPr>
          <w:rFonts w:hint="eastAsia" w:ascii="仿宋" w:hAnsi="仿宋" w:eastAsia="仿宋" w:cs="仿宋"/>
          <w:bCs/>
          <w:kern w:val="0"/>
          <w:sz w:val="22"/>
          <w:szCs w:val="22"/>
        </w:rPr>
        <w:t>单位本级</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单位：万元</w:t>
      </w:r>
    </w:p>
    <w:tbl>
      <w:tblPr>
        <w:tblStyle w:val="9"/>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06FE6B64">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5CB122E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6B7F696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417E617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78FF4482">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7611C833">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5D9BE51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4521016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486AFD7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353A61D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2D557FF6">
        <w:tblPrEx>
          <w:tblCellMar>
            <w:top w:w="0" w:type="dxa"/>
            <w:left w:w="108" w:type="dxa"/>
            <w:bottom w:w="0" w:type="dxa"/>
            <w:right w:w="108" w:type="dxa"/>
          </w:tblCellMar>
        </w:tblPrEx>
        <w:trPr>
          <w:trHeight w:val="39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70DAF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40BF20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0600590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650.39 </w:t>
            </w:r>
          </w:p>
        </w:tc>
        <w:tc>
          <w:tcPr>
            <w:tcW w:w="1116" w:type="dxa"/>
            <w:tcBorders>
              <w:top w:val="nil"/>
              <w:left w:val="nil"/>
              <w:bottom w:val="single" w:color="auto" w:sz="4" w:space="0"/>
              <w:right w:val="single" w:color="auto" w:sz="4" w:space="0"/>
            </w:tcBorders>
            <w:shd w:val="clear" w:color="auto" w:fill="auto"/>
            <w:noWrap/>
            <w:vAlign w:val="center"/>
          </w:tcPr>
          <w:p w14:paraId="21CE99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08809B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51461E4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114.80 </w:t>
            </w:r>
          </w:p>
        </w:tc>
        <w:tc>
          <w:tcPr>
            <w:tcW w:w="1217" w:type="dxa"/>
            <w:tcBorders>
              <w:top w:val="nil"/>
              <w:left w:val="nil"/>
              <w:bottom w:val="single" w:color="auto" w:sz="4" w:space="0"/>
              <w:right w:val="single" w:color="auto" w:sz="4" w:space="0"/>
            </w:tcBorders>
            <w:shd w:val="clear" w:color="auto" w:fill="auto"/>
            <w:noWrap/>
            <w:vAlign w:val="center"/>
          </w:tcPr>
          <w:p w14:paraId="7BBD4B2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55A5F0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63844E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D17AA8E">
        <w:tblPrEx>
          <w:tblCellMar>
            <w:top w:w="0" w:type="dxa"/>
            <w:left w:w="108" w:type="dxa"/>
            <w:bottom w:w="0" w:type="dxa"/>
            <w:right w:w="108" w:type="dxa"/>
          </w:tblCellMar>
        </w:tblPrEx>
        <w:trPr>
          <w:trHeight w:val="39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F8690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1F57E0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14:paraId="6AD2410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199.67 </w:t>
            </w:r>
          </w:p>
        </w:tc>
        <w:tc>
          <w:tcPr>
            <w:tcW w:w="1116" w:type="dxa"/>
            <w:tcBorders>
              <w:top w:val="nil"/>
              <w:left w:val="nil"/>
              <w:bottom w:val="single" w:color="auto" w:sz="4" w:space="0"/>
              <w:right w:val="single" w:color="auto" w:sz="4" w:space="0"/>
            </w:tcBorders>
            <w:shd w:val="clear" w:color="auto" w:fill="auto"/>
            <w:noWrap/>
            <w:vAlign w:val="center"/>
          </w:tcPr>
          <w:p w14:paraId="7FFABC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32F97B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18559AE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3.35 </w:t>
            </w:r>
          </w:p>
        </w:tc>
        <w:tc>
          <w:tcPr>
            <w:tcW w:w="1217" w:type="dxa"/>
            <w:tcBorders>
              <w:top w:val="nil"/>
              <w:left w:val="nil"/>
              <w:bottom w:val="single" w:color="auto" w:sz="4" w:space="0"/>
              <w:right w:val="single" w:color="auto" w:sz="4" w:space="0"/>
            </w:tcBorders>
            <w:shd w:val="clear" w:color="auto" w:fill="auto"/>
            <w:noWrap/>
            <w:vAlign w:val="center"/>
          </w:tcPr>
          <w:p w14:paraId="33ABB3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7293F4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6E946C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DC46F0D">
        <w:tblPrEx>
          <w:tblCellMar>
            <w:top w:w="0" w:type="dxa"/>
            <w:left w:w="108" w:type="dxa"/>
            <w:bottom w:w="0" w:type="dxa"/>
            <w:right w:w="108" w:type="dxa"/>
          </w:tblCellMar>
        </w:tblPrEx>
        <w:trPr>
          <w:trHeight w:val="44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E2C32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1B655F1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14:paraId="2DCBE1A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31.48 </w:t>
            </w:r>
          </w:p>
        </w:tc>
        <w:tc>
          <w:tcPr>
            <w:tcW w:w="1116" w:type="dxa"/>
            <w:tcBorders>
              <w:top w:val="nil"/>
              <w:left w:val="nil"/>
              <w:bottom w:val="single" w:color="auto" w:sz="4" w:space="0"/>
              <w:right w:val="single" w:color="auto" w:sz="4" w:space="0"/>
            </w:tcBorders>
            <w:shd w:val="clear" w:color="auto" w:fill="auto"/>
            <w:noWrap/>
            <w:vAlign w:val="center"/>
          </w:tcPr>
          <w:p w14:paraId="2C98E8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4A16EF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48C5F36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0.12 </w:t>
            </w:r>
          </w:p>
        </w:tc>
        <w:tc>
          <w:tcPr>
            <w:tcW w:w="1217" w:type="dxa"/>
            <w:tcBorders>
              <w:top w:val="nil"/>
              <w:left w:val="nil"/>
              <w:bottom w:val="single" w:color="auto" w:sz="4" w:space="0"/>
              <w:right w:val="single" w:color="auto" w:sz="4" w:space="0"/>
            </w:tcBorders>
            <w:shd w:val="clear" w:color="auto" w:fill="auto"/>
            <w:noWrap/>
            <w:vAlign w:val="center"/>
          </w:tcPr>
          <w:p w14:paraId="717638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6EC4E6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0889882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9160F06">
        <w:tblPrEx>
          <w:tblCellMar>
            <w:top w:w="0" w:type="dxa"/>
            <w:left w:w="108" w:type="dxa"/>
            <w:bottom w:w="0" w:type="dxa"/>
            <w:right w:w="108" w:type="dxa"/>
          </w:tblCellMar>
        </w:tblPrEx>
        <w:trPr>
          <w:trHeight w:val="420"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2AA0E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614836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14:paraId="11D15CC2">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98.14</w:t>
            </w:r>
          </w:p>
        </w:tc>
        <w:tc>
          <w:tcPr>
            <w:tcW w:w="1116" w:type="dxa"/>
            <w:tcBorders>
              <w:top w:val="nil"/>
              <w:left w:val="nil"/>
              <w:bottom w:val="single" w:color="auto" w:sz="4" w:space="0"/>
              <w:right w:val="single" w:color="auto" w:sz="4" w:space="0"/>
            </w:tcBorders>
            <w:shd w:val="clear" w:color="auto" w:fill="auto"/>
            <w:noWrap/>
            <w:vAlign w:val="center"/>
          </w:tcPr>
          <w:p w14:paraId="133990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593AFD7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3F9917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6FD5F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120D21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2459A2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4615C6D">
        <w:tblPrEx>
          <w:tblCellMar>
            <w:top w:w="0" w:type="dxa"/>
            <w:left w:w="108" w:type="dxa"/>
            <w:bottom w:w="0" w:type="dxa"/>
            <w:right w:w="108" w:type="dxa"/>
          </w:tblCellMar>
        </w:tblPrEx>
        <w:trPr>
          <w:trHeight w:val="380"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4E335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728D0B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14:paraId="260E68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31A12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681B6C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2EDCB0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4E881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10C099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1F770C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839B1C4">
        <w:tblPrEx>
          <w:tblCellMar>
            <w:top w:w="0" w:type="dxa"/>
            <w:left w:w="108" w:type="dxa"/>
            <w:bottom w:w="0" w:type="dxa"/>
            <w:right w:w="108" w:type="dxa"/>
          </w:tblCellMar>
        </w:tblPrEx>
        <w:trPr>
          <w:trHeight w:val="48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5DCBD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73A3BC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14:paraId="64D8BD55">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97.46 </w:t>
            </w:r>
          </w:p>
        </w:tc>
        <w:tc>
          <w:tcPr>
            <w:tcW w:w="1116" w:type="dxa"/>
            <w:tcBorders>
              <w:top w:val="nil"/>
              <w:left w:val="nil"/>
              <w:bottom w:val="single" w:color="auto" w:sz="4" w:space="0"/>
              <w:right w:val="single" w:color="auto" w:sz="4" w:space="0"/>
            </w:tcBorders>
            <w:shd w:val="clear" w:color="auto" w:fill="auto"/>
            <w:noWrap/>
            <w:vAlign w:val="center"/>
          </w:tcPr>
          <w:p w14:paraId="1B59D1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7FAC33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54DEEF9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0.45 </w:t>
            </w:r>
          </w:p>
        </w:tc>
        <w:tc>
          <w:tcPr>
            <w:tcW w:w="1217" w:type="dxa"/>
            <w:tcBorders>
              <w:top w:val="nil"/>
              <w:left w:val="nil"/>
              <w:bottom w:val="single" w:color="auto" w:sz="4" w:space="0"/>
              <w:right w:val="single" w:color="auto" w:sz="4" w:space="0"/>
            </w:tcBorders>
            <w:shd w:val="clear" w:color="auto" w:fill="auto"/>
            <w:noWrap/>
            <w:vAlign w:val="center"/>
          </w:tcPr>
          <w:p w14:paraId="4BF218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2E5706A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7990256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1999E17">
        <w:tblPrEx>
          <w:tblCellMar>
            <w:top w:w="0" w:type="dxa"/>
            <w:left w:w="108" w:type="dxa"/>
            <w:bottom w:w="0" w:type="dxa"/>
            <w:right w:w="108" w:type="dxa"/>
          </w:tblCellMar>
        </w:tblPrEx>
        <w:trPr>
          <w:trHeight w:val="410"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DDEE0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5DE1BD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676E86B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107.03 </w:t>
            </w:r>
          </w:p>
        </w:tc>
        <w:tc>
          <w:tcPr>
            <w:tcW w:w="1116" w:type="dxa"/>
            <w:tcBorders>
              <w:top w:val="nil"/>
              <w:left w:val="nil"/>
              <w:bottom w:val="single" w:color="auto" w:sz="4" w:space="0"/>
              <w:right w:val="single" w:color="auto" w:sz="4" w:space="0"/>
            </w:tcBorders>
            <w:shd w:val="clear" w:color="auto" w:fill="auto"/>
            <w:noWrap/>
            <w:vAlign w:val="center"/>
          </w:tcPr>
          <w:p w14:paraId="5ADEBC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741A7B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60B9EC0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28.00 </w:t>
            </w:r>
          </w:p>
        </w:tc>
        <w:tc>
          <w:tcPr>
            <w:tcW w:w="1217" w:type="dxa"/>
            <w:tcBorders>
              <w:top w:val="nil"/>
              <w:left w:val="nil"/>
              <w:bottom w:val="single" w:color="auto" w:sz="4" w:space="0"/>
              <w:right w:val="single" w:color="auto" w:sz="4" w:space="0"/>
            </w:tcBorders>
            <w:shd w:val="clear" w:color="auto" w:fill="auto"/>
            <w:noWrap/>
            <w:vAlign w:val="center"/>
          </w:tcPr>
          <w:p w14:paraId="1DC048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7607D7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4BAC59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B83FBDC">
        <w:tblPrEx>
          <w:tblCellMar>
            <w:top w:w="0" w:type="dxa"/>
            <w:left w:w="108" w:type="dxa"/>
            <w:bottom w:w="0" w:type="dxa"/>
            <w:right w:w="108" w:type="dxa"/>
          </w:tblCellMar>
        </w:tblPrEx>
        <w:trPr>
          <w:trHeight w:val="42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1F59D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4A1B7F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14:paraId="5F48348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17.47 </w:t>
            </w:r>
          </w:p>
        </w:tc>
        <w:tc>
          <w:tcPr>
            <w:tcW w:w="1116" w:type="dxa"/>
            <w:tcBorders>
              <w:top w:val="nil"/>
              <w:left w:val="nil"/>
              <w:bottom w:val="single" w:color="auto" w:sz="4" w:space="0"/>
              <w:right w:val="single" w:color="auto" w:sz="4" w:space="0"/>
            </w:tcBorders>
            <w:shd w:val="clear" w:color="auto" w:fill="auto"/>
            <w:noWrap/>
            <w:vAlign w:val="center"/>
          </w:tcPr>
          <w:p w14:paraId="401A60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2B4C261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647AF1E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7.88 </w:t>
            </w:r>
          </w:p>
        </w:tc>
        <w:tc>
          <w:tcPr>
            <w:tcW w:w="1217" w:type="dxa"/>
            <w:tcBorders>
              <w:top w:val="nil"/>
              <w:left w:val="nil"/>
              <w:bottom w:val="single" w:color="auto" w:sz="4" w:space="0"/>
              <w:right w:val="single" w:color="auto" w:sz="4" w:space="0"/>
            </w:tcBorders>
            <w:shd w:val="clear" w:color="auto" w:fill="auto"/>
            <w:noWrap/>
            <w:vAlign w:val="center"/>
          </w:tcPr>
          <w:p w14:paraId="7568C3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6D7724C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6912BE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8BD530B">
        <w:tblPrEx>
          <w:tblCellMar>
            <w:top w:w="0" w:type="dxa"/>
            <w:left w:w="108" w:type="dxa"/>
            <w:bottom w:w="0" w:type="dxa"/>
            <w:right w:w="108" w:type="dxa"/>
          </w:tblCellMar>
        </w:tblPrEx>
        <w:trPr>
          <w:trHeight w:val="44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17743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16B068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3283075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40.47 </w:t>
            </w:r>
          </w:p>
        </w:tc>
        <w:tc>
          <w:tcPr>
            <w:tcW w:w="1116" w:type="dxa"/>
            <w:tcBorders>
              <w:top w:val="nil"/>
              <w:left w:val="nil"/>
              <w:bottom w:val="single" w:color="auto" w:sz="4" w:space="0"/>
              <w:right w:val="single" w:color="auto" w:sz="4" w:space="0"/>
            </w:tcBorders>
            <w:shd w:val="clear" w:color="auto" w:fill="auto"/>
            <w:noWrap/>
            <w:vAlign w:val="center"/>
          </w:tcPr>
          <w:p w14:paraId="531C67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7EFD2B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37D95D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7EFA3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3B8B96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1C3888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CA6EE7E">
        <w:tblPrEx>
          <w:tblCellMar>
            <w:top w:w="0" w:type="dxa"/>
            <w:left w:w="108" w:type="dxa"/>
            <w:bottom w:w="0" w:type="dxa"/>
            <w:right w:w="108" w:type="dxa"/>
          </w:tblCellMar>
        </w:tblPrEx>
        <w:trPr>
          <w:trHeight w:val="33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99EEA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747430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745071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EF6B1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192628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3AA666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D8616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58A0F6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0C3081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BBD890B">
        <w:tblPrEx>
          <w:tblCellMar>
            <w:top w:w="0" w:type="dxa"/>
            <w:left w:w="108" w:type="dxa"/>
            <w:bottom w:w="0" w:type="dxa"/>
            <w:right w:w="108" w:type="dxa"/>
          </w:tblCellMar>
        </w:tblPrEx>
        <w:trPr>
          <w:trHeight w:val="440"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BF7FD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564BA4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4343906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7.46 </w:t>
            </w:r>
          </w:p>
        </w:tc>
        <w:tc>
          <w:tcPr>
            <w:tcW w:w="1116" w:type="dxa"/>
            <w:tcBorders>
              <w:top w:val="nil"/>
              <w:left w:val="nil"/>
              <w:bottom w:val="single" w:color="auto" w:sz="4" w:space="0"/>
              <w:right w:val="single" w:color="auto" w:sz="4" w:space="0"/>
            </w:tcBorders>
            <w:shd w:val="clear" w:color="auto" w:fill="auto"/>
            <w:noWrap/>
            <w:vAlign w:val="center"/>
          </w:tcPr>
          <w:p w14:paraId="7A9F74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17AC240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5EA667E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5.50 </w:t>
            </w:r>
          </w:p>
        </w:tc>
        <w:tc>
          <w:tcPr>
            <w:tcW w:w="1217" w:type="dxa"/>
            <w:tcBorders>
              <w:top w:val="nil"/>
              <w:left w:val="nil"/>
              <w:bottom w:val="single" w:color="auto" w:sz="4" w:space="0"/>
              <w:right w:val="single" w:color="auto" w:sz="4" w:space="0"/>
            </w:tcBorders>
            <w:shd w:val="clear" w:color="auto" w:fill="auto"/>
            <w:noWrap/>
            <w:vAlign w:val="center"/>
          </w:tcPr>
          <w:p w14:paraId="04533C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44E0134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70EB31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D28BCFE">
        <w:tblPrEx>
          <w:tblCellMar>
            <w:top w:w="0" w:type="dxa"/>
            <w:left w:w="108" w:type="dxa"/>
            <w:bottom w:w="0" w:type="dxa"/>
            <w:right w:w="108" w:type="dxa"/>
          </w:tblCellMar>
        </w:tblPrEx>
        <w:trPr>
          <w:trHeight w:val="36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FB967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25A86C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14:paraId="77CA8401">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42.37</w:t>
            </w:r>
          </w:p>
        </w:tc>
        <w:tc>
          <w:tcPr>
            <w:tcW w:w="1116" w:type="dxa"/>
            <w:tcBorders>
              <w:top w:val="nil"/>
              <w:left w:val="nil"/>
              <w:bottom w:val="single" w:color="auto" w:sz="4" w:space="0"/>
              <w:right w:val="single" w:color="auto" w:sz="4" w:space="0"/>
            </w:tcBorders>
            <w:shd w:val="clear" w:color="auto" w:fill="auto"/>
            <w:noWrap/>
            <w:vAlign w:val="center"/>
          </w:tcPr>
          <w:p w14:paraId="3CC620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4FB537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11DDED4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9328D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3FD259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4A87D2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BE2941A">
        <w:tblPrEx>
          <w:tblCellMar>
            <w:top w:w="0" w:type="dxa"/>
            <w:left w:w="108" w:type="dxa"/>
            <w:bottom w:w="0" w:type="dxa"/>
            <w:right w:w="108" w:type="dxa"/>
          </w:tblCellMar>
        </w:tblPrEx>
        <w:trPr>
          <w:trHeight w:val="380"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2F85F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0D625E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14:paraId="26AD83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782CA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0BC216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2F1531A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10.39 </w:t>
            </w:r>
          </w:p>
        </w:tc>
        <w:tc>
          <w:tcPr>
            <w:tcW w:w="1217" w:type="dxa"/>
            <w:tcBorders>
              <w:top w:val="nil"/>
              <w:left w:val="nil"/>
              <w:bottom w:val="single" w:color="auto" w:sz="4" w:space="0"/>
              <w:right w:val="single" w:color="auto" w:sz="4" w:space="0"/>
            </w:tcBorders>
            <w:shd w:val="clear" w:color="auto" w:fill="auto"/>
            <w:noWrap/>
            <w:vAlign w:val="center"/>
          </w:tcPr>
          <w:p w14:paraId="76281D5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2B90FD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5B731B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13927E0">
        <w:tblPrEx>
          <w:tblCellMar>
            <w:top w:w="0" w:type="dxa"/>
            <w:left w:w="108" w:type="dxa"/>
            <w:bottom w:w="0" w:type="dxa"/>
            <w:right w:w="108" w:type="dxa"/>
          </w:tblCellMar>
        </w:tblPrEx>
        <w:trPr>
          <w:trHeight w:val="460"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88137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6E2DEE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00BD836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8.83 </w:t>
            </w:r>
          </w:p>
        </w:tc>
        <w:tc>
          <w:tcPr>
            <w:tcW w:w="1116" w:type="dxa"/>
            <w:tcBorders>
              <w:top w:val="nil"/>
              <w:left w:val="nil"/>
              <w:bottom w:val="single" w:color="auto" w:sz="4" w:space="0"/>
              <w:right w:val="single" w:color="auto" w:sz="4" w:space="0"/>
            </w:tcBorders>
            <w:shd w:val="clear" w:color="auto" w:fill="auto"/>
            <w:noWrap/>
            <w:vAlign w:val="center"/>
          </w:tcPr>
          <w:p w14:paraId="7C775FC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50F9162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16C08CF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0.24 </w:t>
            </w:r>
          </w:p>
        </w:tc>
        <w:tc>
          <w:tcPr>
            <w:tcW w:w="1217" w:type="dxa"/>
            <w:tcBorders>
              <w:top w:val="nil"/>
              <w:left w:val="nil"/>
              <w:bottom w:val="single" w:color="auto" w:sz="4" w:space="0"/>
              <w:right w:val="single" w:color="auto" w:sz="4" w:space="0"/>
            </w:tcBorders>
            <w:shd w:val="clear" w:color="auto" w:fill="auto"/>
            <w:noWrap/>
            <w:vAlign w:val="center"/>
          </w:tcPr>
          <w:p w14:paraId="3819DE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7147CB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1C087D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5982B54">
        <w:tblPrEx>
          <w:tblCellMar>
            <w:top w:w="0" w:type="dxa"/>
            <w:left w:w="108" w:type="dxa"/>
            <w:bottom w:w="0" w:type="dxa"/>
            <w:right w:w="108" w:type="dxa"/>
          </w:tblCellMar>
        </w:tblPrEx>
        <w:trPr>
          <w:trHeight w:val="39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A73915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1E1D6F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536CF97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0.02 </w:t>
            </w:r>
          </w:p>
        </w:tc>
        <w:tc>
          <w:tcPr>
            <w:tcW w:w="1116" w:type="dxa"/>
            <w:tcBorders>
              <w:top w:val="nil"/>
              <w:left w:val="nil"/>
              <w:bottom w:val="single" w:color="auto" w:sz="4" w:space="0"/>
              <w:right w:val="single" w:color="auto" w:sz="4" w:space="0"/>
            </w:tcBorders>
            <w:shd w:val="clear" w:color="auto" w:fill="auto"/>
            <w:noWrap/>
            <w:vAlign w:val="center"/>
          </w:tcPr>
          <w:p w14:paraId="3A4A1B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5E06A05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4F1FEAD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B4BD5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61282C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539464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B0930A2">
        <w:tblPrEx>
          <w:tblCellMar>
            <w:top w:w="0" w:type="dxa"/>
            <w:left w:w="108" w:type="dxa"/>
            <w:bottom w:w="0" w:type="dxa"/>
            <w:right w:w="108" w:type="dxa"/>
          </w:tblCellMar>
        </w:tblPrEx>
        <w:trPr>
          <w:trHeight w:val="400"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81DA7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68D84D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14:paraId="023AA5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C329E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1057301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4A55F30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1.01 </w:t>
            </w:r>
          </w:p>
        </w:tc>
        <w:tc>
          <w:tcPr>
            <w:tcW w:w="1217" w:type="dxa"/>
            <w:tcBorders>
              <w:top w:val="nil"/>
              <w:left w:val="nil"/>
              <w:bottom w:val="single" w:color="auto" w:sz="4" w:space="0"/>
              <w:right w:val="single" w:color="auto" w:sz="4" w:space="0"/>
            </w:tcBorders>
            <w:shd w:val="clear" w:color="auto" w:fill="auto"/>
            <w:noWrap/>
            <w:vAlign w:val="center"/>
          </w:tcPr>
          <w:p w14:paraId="25C087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15EBC38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2031A1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752D9C2">
        <w:tblPrEx>
          <w:tblCellMar>
            <w:top w:w="0" w:type="dxa"/>
            <w:left w:w="108" w:type="dxa"/>
            <w:bottom w:w="0" w:type="dxa"/>
            <w:right w:w="108" w:type="dxa"/>
          </w:tblCellMar>
        </w:tblPrEx>
        <w:trPr>
          <w:trHeight w:val="350"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D539BC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7577B4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14:paraId="04B98A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5F056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05306C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75C42B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6E889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7EC151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7E453E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06E5D3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F85AE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26FCBB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14:paraId="5D38DF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AD4B2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2F9046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08B61F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04C35A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6F8330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27D1B75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9662F9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BBCDC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1FB080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14:paraId="5F0944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49167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11752E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19D6D5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55B37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355F3B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01A86BA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3BCA9A9">
        <w:tblPrEx>
          <w:tblCellMar>
            <w:top w:w="0" w:type="dxa"/>
            <w:left w:w="108" w:type="dxa"/>
            <w:bottom w:w="0" w:type="dxa"/>
            <w:right w:w="108" w:type="dxa"/>
          </w:tblCellMar>
        </w:tblPrEx>
        <w:trPr>
          <w:trHeight w:val="36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79B5A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71CA7E4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14:paraId="20DAEF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FE96C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471D5E8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4FC0B90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3D71C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5DBC23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6135BC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1B286C7">
        <w:tblPrEx>
          <w:tblCellMar>
            <w:top w:w="0" w:type="dxa"/>
            <w:left w:w="108" w:type="dxa"/>
            <w:bottom w:w="0" w:type="dxa"/>
            <w:right w:w="108" w:type="dxa"/>
          </w:tblCellMar>
        </w:tblPrEx>
        <w:trPr>
          <w:trHeight w:val="42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2BBF0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29CD49D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14:paraId="1BC3F27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5F786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7BE7D2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52D8DA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05C53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44D19B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09733B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8D9DB46">
        <w:tblPrEx>
          <w:tblCellMar>
            <w:top w:w="0" w:type="dxa"/>
            <w:left w:w="108" w:type="dxa"/>
            <w:bottom w:w="0" w:type="dxa"/>
            <w:right w:w="108" w:type="dxa"/>
          </w:tblCellMar>
        </w:tblPrEx>
        <w:trPr>
          <w:trHeight w:val="33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F1F8E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4B398B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14:paraId="5ED9C7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C7C52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2C644A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2F1E21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D0638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7AF30B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025DF6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DABA353">
        <w:tblPrEx>
          <w:tblCellMar>
            <w:top w:w="0" w:type="dxa"/>
            <w:left w:w="108" w:type="dxa"/>
            <w:bottom w:w="0" w:type="dxa"/>
            <w:right w:w="108" w:type="dxa"/>
          </w:tblCellMar>
        </w:tblPrEx>
        <w:trPr>
          <w:trHeight w:val="430"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A772B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37EAC4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14:paraId="3986C0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F87FD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4552CF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183F736E">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19.00 </w:t>
            </w:r>
          </w:p>
        </w:tc>
        <w:tc>
          <w:tcPr>
            <w:tcW w:w="1217" w:type="dxa"/>
            <w:tcBorders>
              <w:top w:val="nil"/>
              <w:left w:val="nil"/>
              <w:bottom w:val="single" w:color="auto" w:sz="4" w:space="0"/>
              <w:right w:val="single" w:color="auto" w:sz="4" w:space="0"/>
            </w:tcBorders>
            <w:shd w:val="clear" w:color="auto" w:fill="auto"/>
            <w:noWrap/>
            <w:vAlign w:val="center"/>
          </w:tcPr>
          <w:p w14:paraId="46A496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567CBE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630FD4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95CF7A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65D7A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0F54DD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14:paraId="51B76B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1F485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630818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5C5418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C8FE8C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7BFF7F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784C4E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486A9EF4">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3732FD22">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8755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3E34ACB6">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9104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474BD16E">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5695197C">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45D9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795BC3B1">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EFDF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27E04B1B">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2DAD68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EA92CB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711E4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058FE8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15EC05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EF7D5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223C9D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45426B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06EF6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6612B1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08D5B7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FD44BC4">
        <w:tblPrEx>
          <w:tblCellMar>
            <w:top w:w="0" w:type="dxa"/>
            <w:left w:w="108" w:type="dxa"/>
            <w:bottom w:w="0" w:type="dxa"/>
            <w:right w:w="108" w:type="dxa"/>
          </w:tblCellMar>
        </w:tblPrEx>
        <w:trPr>
          <w:trHeight w:val="470"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ABDA8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65E74E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14:paraId="4E0379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6AE9D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2891D3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411B63A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12.54 </w:t>
            </w:r>
          </w:p>
        </w:tc>
        <w:tc>
          <w:tcPr>
            <w:tcW w:w="1217" w:type="dxa"/>
            <w:tcBorders>
              <w:top w:val="nil"/>
              <w:left w:val="nil"/>
              <w:bottom w:val="single" w:color="auto" w:sz="4" w:space="0"/>
              <w:right w:val="single" w:color="auto" w:sz="4" w:space="0"/>
            </w:tcBorders>
            <w:shd w:val="clear" w:color="auto" w:fill="auto"/>
            <w:noWrap/>
            <w:vAlign w:val="center"/>
          </w:tcPr>
          <w:p w14:paraId="186648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7DD139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72AA50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0571DD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0D5930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5552DC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49E12B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6DF5E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71849A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7EB54B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2C4F70E">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3279EA8D">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015F77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390A146">
        <w:tblPrEx>
          <w:tblCellMar>
            <w:top w:w="0" w:type="dxa"/>
            <w:left w:w="108" w:type="dxa"/>
            <w:bottom w:w="0" w:type="dxa"/>
            <w:right w:w="108" w:type="dxa"/>
          </w:tblCellMar>
        </w:tblPrEx>
        <w:trPr>
          <w:trHeight w:val="39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592B2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0DD927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14:paraId="09CF7A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5041C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370FEC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0BB4371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26.35 </w:t>
            </w:r>
          </w:p>
        </w:tc>
        <w:tc>
          <w:tcPr>
            <w:tcW w:w="1217" w:type="dxa"/>
            <w:tcBorders>
              <w:top w:val="nil"/>
              <w:left w:val="nil"/>
              <w:bottom w:val="single" w:color="auto" w:sz="4" w:space="0"/>
              <w:right w:val="single" w:color="auto" w:sz="4" w:space="0"/>
            </w:tcBorders>
            <w:shd w:val="clear" w:color="auto" w:fill="auto"/>
            <w:noWrap/>
            <w:vAlign w:val="center"/>
          </w:tcPr>
          <w:p w14:paraId="6EEDCCAA">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40512E8E">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03A54C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A966B1A">
        <w:tblPrEx>
          <w:tblCellMar>
            <w:top w:w="0" w:type="dxa"/>
            <w:left w:w="108" w:type="dxa"/>
            <w:bottom w:w="0" w:type="dxa"/>
            <w:right w:w="108" w:type="dxa"/>
          </w:tblCellMar>
        </w:tblPrEx>
        <w:trPr>
          <w:trHeight w:val="420"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22FB5E1F">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6D451A0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650.39 </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19CA8D24">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6CB21E85">
            <w:pPr>
              <w:keepNext w:val="0"/>
              <w:keepLines w:val="0"/>
              <w:widowControl/>
              <w:suppressLineNumbers w:val="0"/>
              <w:jc w:val="right"/>
              <w:textAlignment w:val="center"/>
              <w:rPr>
                <w:rFonts w:ascii="Times New Roman" w:hAnsi="Times New Roman" w:eastAsia="仿宋_GB2312" w:cs="Times New Roman"/>
                <w:b/>
                <w:bCs/>
                <w:color w:val="000000"/>
                <w:kern w:val="0"/>
                <w:szCs w:val="18"/>
              </w:rPr>
            </w:pPr>
            <w:r>
              <w:rPr>
                <w:rFonts w:hint="eastAsia" w:ascii="宋体" w:hAnsi="宋体" w:eastAsia="宋体" w:cs="宋体"/>
                <w:i w:val="0"/>
                <w:color w:val="000000"/>
                <w:kern w:val="0"/>
                <w:sz w:val="22"/>
                <w:szCs w:val="22"/>
                <w:u w:val="none"/>
                <w:lang w:val="en-US" w:eastAsia="zh-CN" w:bidi="ar"/>
              </w:rPr>
              <w:t xml:space="preserve">114.80 </w:t>
            </w:r>
          </w:p>
        </w:tc>
      </w:tr>
    </w:tbl>
    <w:p w14:paraId="72905A30">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0E1B58F9">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33FAF6F6">
      <w:pPr>
        <w:widowControl/>
        <w:spacing w:after="156" w:afterLines="50"/>
        <w:jc w:val="center"/>
        <w:textAlignment w:val="center"/>
        <w:rPr>
          <w:rFonts w:ascii="Times New Roman" w:hAnsi="Times New Roman" w:eastAsia="黑体" w:cs="Times New Roman"/>
          <w:color w:val="000000"/>
          <w:kern w:val="0"/>
          <w:sz w:val="36"/>
          <w:szCs w:val="36"/>
          <w:lang w:bidi="ar"/>
        </w:rPr>
      </w:pPr>
    </w:p>
    <w:p w14:paraId="40F29D72">
      <w:pPr>
        <w:widowControl/>
        <w:spacing w:after="156" w:afterLines="50"/>
        <w:jc w:val="center"/>
        <w:textAlignment w:val="center"/>
        <w:rPr>
          <w:rFonts w:ascii="Times New Roman" w:hAnsi="Times New Roman" w:eastAsia="黑体" w:cs="Times New Roman"/>
          <w:color w:val="000000"/>
          <w:kern w:val="0"/>
          <w:sz w:val="36"/>
          <w:szCs w:val="36"/>
          <w:lang w:bidi="ar"/>
        </w:rPr>
      </w:pPr>
    </w:p>
    <w:p w14:paraId="2D604425">
      <w:pPr>
        <w:widowControl/>
        <w:spacing w:after="156" w:afterLines="50"/>
        <w:jc w:val="center"/>
        <w:textAlignment w:val="center"/>
        <w:rPr>
          <w:rFonts w:ascii="Times New Roman" w:hAnsi="Times New Roman" w:eastAsia="黑体" w:cs="Times New Roman"/>
          <w:color w:val="000000"/>
          <w:kern w:val="0"/>
          <w:sz w:val="36"/>
          <w:szCs w:val="36"/>
          <w:lang w:bidi="ar"/>
        </w:rPr>
      </w:pPr>
    </w:p>
    <w:p w14:paraId="2DECF706">
      <w:pPr>
        <w:widowControl/>
        <w:spacing w:after="156" w:afterLines="50"/>
        <w:jc w:val="center"/>
        <w:textAlignment w:val="center"/>
        <w:rPr>
          <w:rFonts w:ascii="Times New Roman" w:hAnsi="Times New Roman" w:eastAsia="黑体" w:cs="Times New Roman"/>
          <w:color w:val="000000"/>
          <w:kern w:val="0"/>
          <w:sz w:val="36"/>
          <w:szCs w:val="36"/>
          <w:lang w:bidi="ar"/>
        </w:rPr>
      </w:pPr>
    </w:p>
    <w:p w14:paraId="5C971265">
      <w:pPr>
        <w:widowControl/>
        <w:spacing w:after="156" w:afterLines="50"/>
        <w:jc w:val="center"/>
        <w:textAlignment w:val="center"/>
        <w:rPr>
          <w:rFonts w:ascii="Times New Roman" w:hAnsi="Times New Roman" w:eastAsia="黑体" w:cs="Times New Roman"/>
          <w:color w:val="000000"/>
          <w:kern w:val="0"/>
          <w:sz w:val="36"/>
          <w:szCs w:val="36"/>
          <w:lang w:bidi="ar"/>
        </w:rPr>
      </w:pPr>
    </w:p>
    <w:p w14:paraId="4819DCD3">
      <w:pPr>
        <w:widowControl/>
        <w:spacing w:after="156" w:afterLines="50"/>
        <w:jc w:val="center"/>
        <w:textAlignment w:val="center"/>
        <w:rPr>
          <w:rFonts w:ascii="Times New Roman" w:hAnsi="Times New Roman" w:eastAsia="黑体" w:cs="Times New Roman"/>
          <w:color w:val="000000"/>
          <w:kern w:val="0"/>
          <w:sz w:val="36"/>
          <w:szCs w:val="36"/>
          <w:lang w:bidi="ar"/>
        </w:rPr>
      </w:pPr>
    </w:p>
    <w:p w14:paraId="5FDBB2DC">
      <w:pPr>
        <w:widowControl/>
        <w:spacing w:after="156" w:afterLines="50"/>
        <w:jc w:val="center"/>
        <w:textAlignment w:val="center"/>
        <w:rPr>
          <w:rFonts w:ascii="Times New Roman" w:hAnsi="Times New Roman" w:eastAsia="黑体" w:cs="Times New Roman"/>
          <w:color w:val="000000"/>
          <w:kern w:val="0"/>
          <w:sz w:val="36"/>
          <w:szCs w:val="36"/>
          <w:lang w:bidi="ar"/>
        </w:rPr>
      </w:pPr>
    </w:p>
    <w:p w14:paraId="5563AEF2">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3F38DB05">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685E40DA">
      <w:pPr>
        <w:widowControl/>
        <w:spacing w:line="600" w:lineRule="exact"/>
        <w:jc w:val="both"/>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kern w:val="0"/>
          <w:sz w:val="18"/>
          <w:szCs w:val="18"/>
          <w:lang w:bidi="ar"/>
        </w:rPr>
        <w:t>：</w:t>
      </w:r>
      <w:r>
        <w:rPr>
          <w:rFonts w:hint="eastAsia" w:ascii="仿宋" w:hAnsi="仿宋" w:eastAsia="仿宋" w:cs="仿宋"/>
          <w:bCs/>
          <w:kern w:val="0"/>
          <w:sz w:val="22"/>
          <w:szCs w:val="22"/>
          <w:lang w:eastAsia="zh-CN"/>
        </w:rPr>
        <w:t>蓝山县数据局（蓝山县</w:t>
      </w:r>
      <w:r>
        <w:rPr>
          <w:rFonts w:hint="eastAsia" w:ascii="仿宋" w:hAnsi="仿宋" w:eastAsia="仿宋" w:cs="仿宋"/>
          <w:bCs/>
          <w:kern w:val="0"/>
          <w:sz w:val="22"/>
          <w:szCs w:val="22"/>
          <w:lang w:val="en-US" w:eastAsia="zh-CN"/>
        </w:rPr>
        <w:t>行政审批服务局</w:t>
      </w:r>
      <w:r>
        <w:rPr>
          <w:rFonts w:hint="eastAsia" w:ascii="仿宋" w:hAnsi="仿宋" w:eastAsia="仿宋" w:cs="仿宋"/>
          <w:bCs/>
          <w:kern w:val="0"/>
          <w:sz w:val="22"/>
          <w:szCs w:val="22"/>
          <w:lang w:eastAsia="zh-CN"/>
        </w:rPr>
        <w:t>）</w:t>
      </w:r>
      <w:r>
        <w:rPr>
          <w:rFonts w:hint="eastAsia" w:ascii="仿宋" w:hAnsi="仿宋" w:eastAsia="仿宋" w:cs="仿宋"/>
          <w:bCs/>
          <w:kern w:val="0"/>
          <w:sz w:val="22"/>
          <w:szCs w:val="22"/>
        </w:rPr>
        <w:t>单位本级</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color w:val="000000"/>
          <w:kern w:val="0"/>
          <w:sz w:val="20"/>
          <w:szCs w:val="20"/>
          <w:lang w:bidi="ar"/>
        </w:rPr>
        <w:t>单位：万元</w:t>
      </w:r>
    </w:p>
    <w:tbl>
      <w:tblPr>
        <w:tblStyle w:val="9"/>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7D227BAC">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E2FDA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7"/>
                <w:rFonts w:hint="default" w:ascii="Times New Roman" w:hAnsi="Times New Roman" w:eastAsia="仿宋_GB2312" w:cs="Times New Roman"/>
                <w:b/>
                <w:bCs/>
                <w:lang w:bidi="ar"/>
              </w:rPr>
              <w:t xml:space="preserve">   </w:t>
            </w:r>
            <w:r>
              <w:rPr>
                <w:rStyle w:val="18"/>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CD7E9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9B47F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FE0F5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02905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028CAF69">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2F44D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7EC8F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E97445">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EBA9F5">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783DA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255F2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0E4E6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40E551">
            <w:pPr>
              <w:widowControl/>
              <w:jc w:val="center"/>
              <w:rPr>
                <w:rFonts w:ascii="Times New Roman" w:hAnsi="Times New Roman" w:eastAsia="仿宋_GB2312" w:cs="Times New Roman"/>
                <w:color w:val="000000"/>
                <w:sz w:val="24"/>
                <w:szCs w:val="24"/>
              </w:rPr>
            </w:pPr>
          </w:p>
        </w:tc>
      </w:tr>
      <w:tr w14:paraId="4A147680">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C39F0F">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C6A3A1">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0FDC4E">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B90F40">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9ACF4D">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AE83BB">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7E04A8">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881AE9">
            <w:pPr>
              <w:jc w:val="center"/>
              <w:rPr>
                <w:rFonts w:ascii="Times New Roman" w:hAnsi="Times New Roman" w:eastAsia="仿宋_GB2312" w:cs="Times New Roman"/>
                <w:color w:val="000000"/>
                <w:sz w:val="24"/>
                <w:szCs w:val="24"/>
              </w:rPr>
            </w:pPr>
          </w:p>
        </w:tc>
      </w:tr>
      <w:tr w14:paraId="05ACCFAF">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D8A471">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2A16D0">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822652">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F7FB4F">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5392A0">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BAF21F">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70FCB6">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D3882D">
            <w:pPr>
              <w:jc w:val="center"/>
              <w:rPr>
                <w:rFonts w:ascii="Times New Roman" w:hAnsi="Times New Roman" w:eastAsia="仿宋_GB2312" w:cs="Times New Roman"/>
                <w:color w:val="000000"/>
                <w:sz w:val="24"/>
                <w:szCs w:val="24"/>
              </w:rPr>
            </w:pPr>
          </w:p>
        </w:tc>
      </w:tr>
      <w:tr w14:paraId="4EFC6307">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29D58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5BCA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D5B3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20DF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F5A6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32BE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A6A6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414FF98F">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01566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E274C">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192E6">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3054B">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CEC65">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AAD6D">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D1760">
            <w:pPr>
              <w:jc w:val="center"/>
              <w:rPr>
                <w:rFonts w:ascii="Times New Roman" w:hAnsi="Times New Roman" w:eastAsia="仿宋_GB2312" w:cs="Times New Roman"/>
                <w:color w:val="000000"/>
                <w:sz w:val="24"/>
                <w:szCs w:val="24"/>
              </w:rPr>
            </w:pPr>
          </w:p>
        </w:tc>
      </w:tr>
      <w:tr w14:paraId="1F31CA97">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69AE4">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B00D6">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1501B">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E33D7">
            <w:pP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 xml:space="preserve">0  </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C749F">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8C9D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3FB9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7EA1F">
            <w:pPr>
              <w:rPr>
                <w:rFonts w:ascii="Times New Roman" w:hAnsi="Times New Roman" w:eastAsia="仿宋_GB2312" w:cs="Times New Roman"/>
                <w:color w:val="000000"/>
                <w:sz w:val="24"/>
                <w:szCs w:val="24"/>
              </w:rPr>
            </w:pPr>
          </w:p>
        </w:tc>
      </w:tr>
      <w:tr w14:paraId="5B393EEF">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0EBA2">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CEC9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51FE4">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9B32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B1D50">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98FD8">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E7E6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33938">
            <w:pPr>
              <w:rPr>
                <w:rFonts w:ascii="Times New Roman" w:hAnsi="Times New Roman" w:eastAsia="仿宋_GB2312" w:cs="Times New Roman"/>
                <w:color w:val="000000"/>
                <w:sz w:val="24"/>
                <w:szCs w:val="24"/>
              </w:rPr>
            </w:pPr>
          </w:p>
        </w:tc>
      </w:tr>
      <w:tr w14:paraId="5EDC97C2">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EE142">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1BCA7">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2FAC6">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58279">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EFAF1">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AE76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0692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07A68">
            <w:pPr>
              <w:rPr>
                <w:rFonts w:ascii="Times New Roman" w:hAnsi="Times New Roman" w:eastAsia="仿宋_GB2312" w:cs="Times New Roman"/>
                <w:color w:val="000000"/>
                <w:sz w:val="24"/>
                <w:szCs w:val="24"/>
              </w:rPr>
            </w:pPr>
          </w:p>
        </w:tc>
      </w:tr>
      <w:tr w14:paraId="44F75B1B">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2E9C4">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55482">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C4D25">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8264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0DF2E">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2BE3A">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8621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4AEEE">
            <w:pPr>
              <w:rPr>
                <w:rFonts w:ascii="Times New Roman" w:hAnsi="Times New Roman" w:eastAsia="仿宋_GB2312" w:cs="Times New Roman"/>
                <w:color w:val="000000"/>
                <w:sz w:val="24"/>
                <w:szCs w:val="24"/>
              </w:rPr>
            </w:pPr>
          </w:p>
        </w:tc>
      </w:tr>
      <w:tr w14:paraId="4A95CE11">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61F68">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7438D">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62C88">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B231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881CF">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D62CF">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975E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5BA1D">
            <w:pPr>
              <w:rPr>
                <w:rFonts w:ascii="Times New Roman" w:hAnsi="Times New Roman" w:eastAsia="仿宋_GB2312" w:cs="Times New Roman"/>
                <w:color w:val="000000"/>
                <w:sz w:val="24"/>
                <w:szCs w:val="24"/>
              </w:rPr>
            </w:pPr>
          </w:p>
        </w:tc>
      </w:tr>
      <w:tr w14:paraId="3D8FA5D4">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9CB9B">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CB0A6">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F8EC8">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8F2C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A82B2">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71E52">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95A9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DF50D">
            <w:pPr>
              <w:rPr>
                <w:rFonts w:ascii="Times New Roman" w:hAnsi="Times New Roman" w:eastAsia="仿宋_GB2312" w:cs="Times New Roman"/>
                <w:color w:val="000000"/>
                <w:sz w:val="24"/>
                <w:szCs w:val="24"/>
              </w:rPr>
            </w:pPr>
          </w:p>
        </w:tc>
      </w:tr>
    </w:tbl>
    <w:p w14:paraId="2F7BDF89">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7B493F6F">
      <w:pPr>
        <w:widowControl/>
        <w:jc w:val="left"/>
        <w:textAlignment w:val="center"/>
        <w:rPr>
          <w:rFonts w:ascii="Times New Roman" w:hAnsi="Times New Roman" w:eastAsia="仿宋_GB2312" w:cs="Times New Roman"/>
          <w:color w:val="000000"/>
          <w:kern w:val="0"/>
          <w:sz w:val="24"/>
          <w:szCs w:val="24"/>
          <w:lang w:bidi="ar"/>
        </w:rPr>
      </w:pPr>
    </w:p>
    <w:p w14:paraId="0AD81AB5">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14:paraId="4D2E4C6B">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25C4F0A0">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27F88DBC">
      <w:pPr>
        <w:widowControl/>
        <w:spacing w:line="600" w:lineRule="exact"/>
        <w:ind w:firstLine="400" w:firstLineChars="200"/>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楷体_GB2312" w:cs="Times New Roman"/>
          <w:color w:val="000000"/>
          <w:kern w:val="0"/>
          <w:sz w:val="20"/>
          <w:szCs w:val="20"/>
          <w:lang w:val="en-US" w:eastAsia="zh-CN" w:bidi="ar"/>
        </w:rPr>
        <w:t>蓝山县数据局（蓝山县行政审批服务局）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color w:val="000000"/>
          <w:kern w:val="0"/>
          <w:sz w:val="20"/>
          <w:szCs w:val="20"/>
          <w:lang w:bidi="ar"/>
        </w:rPr>
        <w:t>单位：万元</w:t>
      </w:r>
    </w:p>
    <w:tbl>
      <w:tblPr>
        <w:tblStyle w:val="9"/>
        <w:tblW w:w="14217" w:type="dxa"/>
        <w:tblInd w:w="0" w:type="dxa"/>
        <w:tblLayout w:type="fixed"/>
        <w:tblCellMar>
          <w:top w:w="0" w:type="dxa"/>
          <w:left w:w="108" w:type="dxa"/>
          <w:bottom w:w="0" w:type="dxa"/>
          <w:right w:w="108" w:type="dxa"/>
        </w:tblCellMar>
      </w:tblPr>
      <w:tblGrid>
        <w:gridCol w:w="3094"/>
        <w:gridCol w:w="3097"/>
        <w:gridCol w:w="1832"/>
        <w:gridCol w:w="3097"/>
        <w:gridCol w:w="3097"/>
      </w:tblGrid>
      <w:tr w14:paraId="263EA7D6">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89A10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9"/>
                <w:rFonts w:hint="default" w:ascii="Times New Roman" w:hAnsi="Times New Roman" w:eastAsia="仿宋_GB2312" w:cs="Times New Roman"/>
                <w:b/>
                <w:bCs/>
                <w:lang w:bidi="ar"/>
              </w:rPr>
              <w:t>目</w:t>
            </w:r>
          </w:p>
        </w:tc>
        <w:tc>
          <w:tcPr>
            <w:tcW w:w="80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964BF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1BC5E596">
        <w:tblPrEx>
          <w:tblCellMar>
            <w:top w:w="0" w:type="dxa"/>
            <w:left w:w="108" w:type="dxa"/>
            <w:bottom w:w="0" w:type="dxa"/>
            <w:right w:w="108" w:type="dxa"/>
          </w:tblCellMar>
        </w:tblPrEx>
        <w:trPr>
          <w:trHeight w:val="312" w:hRule="exact"/>
        </w:trPr>
        <w:tc>
          <w:tcPr>
            <w:tcW w:w="30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27CFD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9BE04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8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9EFE8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6A3C0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5A9AC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37A5B1D1">
        <w:tblPrEx>
          <w:tblCellMar>
            <w:top w:w="0" w:type="dxa"/>
            <w:left w:w="108" w:type="dxa"/>
            <w:bottom w:w="0" w:type="dxa"/>
            <w:right w:w="108" w:type="dxa"/>
          </w:tblCellMar>
        </w:tblPrEx>
        <w:trPr>
          <w:trHeight w:val="312" w:hRule="exact"/>
        </w:trPr>
        <w:tc>
          <w:tcPr>
            <w:tcW w:w="30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154D66">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E571F6">
            <w:pPr>
              <w:jc w:val="center"/>
              <w:rPr>
                <w:rFonts w:ascii="Times New Roman" w:hAnsi="Times New Roman" w:eastAsia="仿宋_GB2312" w:cs="Times New Roman"/>
                <w:color w:val="000000"/>
                <w:sz w:val="24"/>
                <w:szCs w:val="24"/>
              </w:rPr>
            </w:pPr>
          </w:p>
        </w:tc>
        <w:tc>
          <w:tcPr>
            <w:tcW w:w="1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BEA03C">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551759">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478A55">
            <w:pPr>
              <w:jc w:val="center"/>
              <w:rPr>
                <w:rFonts w:ascii="Times New Roman" w:hAnsi="Times New Roman" w:eastAsia="仿宋_GB2312" w:cs="Times New Roman"/>
                <w:color w:val="000000"/>
                <w:sz w:val="24"/>
                <w:szCs w:val="24"/>
              </w:rPr>
            </w:pPr>
          </w:p>
        </w:tc>
      </w:tr>
      <w:tr w14:paraId="3C55FF9B">
        <w:tblPrEx>
          <w:tblCellMar>
            <w:top w:w="0" w:type="dxa"/>
            <w:left w:w="108" w:type="dxa"/>
            <w:bottom w:w="0" w:type="dxa"/>
            <w:right w:w="108" w:type="dxa"/>
          </w:tblCellMar>
        </w:tblPrEx>
        <w:trPr>
          <w:trHeight w:val="312" w:hRule="atLeast"/>
        </w:trPr>
        <w:tc>
          <w:tcPr>
            <w:tcW w:w="30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514D56">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CC54D7">
            <w:pPr>
              <w:jc w:val="center"/>
              <w:rPr>
                <w:rFonts w:ascii="Times New Roman" w:hAnsi="Times New Roman" w:eastAsia="仿宋_GB2312" w:cs="Times New Roman"/>
                <w:color w:val="000000"/>
                <w:sz w:val="24"/>
                <w:szCs w:val="24"/>
              </w:rPr>
            </w:pPr>
          </w:p>
        </w:tc>
        <w:tc>
          <w:tcPr>
            <w:tcW w:w="1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78A906">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6B0C97">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25E64F">
            <w:pPr>
              <w:jc w:val="center"/>
              <w:rPr>
                <w:rFonts w:ascii="Times New Roman" w:hAnsi="Times New Roman" w:eastAsia="仿宋_GB2312" w:cs="Times New Roman"/>
                <w:color w:val="000000"/>
                <w:sz w:val="24"/>
                <w:szCs w:val="24"/>
              </w:rPr>
            </w:pPr>
          </w:p>
        </w:tc>
      </w:tr>
      <w:tr w14:paraId="6B515AB0">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FBDA5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32B1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A806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0B26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54E928CF">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637D7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D8BFA">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A6E4B">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48310">
            <w:pPr>
              <w:jc w:val="center"/>
              <w:rPr>
                <w:rFonts w:ascii="Times New Roman" w:hAnsi="Times New Roman" w:eastAsia="仿宋_GB2312" w:cs="Times New Roman"/>
                <w:color w:val="000000"/>
                <w:sz w:val="24"/>
                <w:szCs w:val="24"/>
              </w:rPr>
            </w:pPr>
          </w:p>
        </w:tc>
      </w:tr>
      <w:tr w14:paraId="1E95551F">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9E737">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4E9CD">
            <w:pPr>
              <w:rPr>
                <w:rFonts w:ascii="Times New Roman" w:hAnsi="Times New Roman" w:eastAsia="仿宋_GB2312" w:cs="Times New Roman"/>
                <w:color w:val="000000"/>
                <w:sz w:val="20"/>
                <w:szCs w:val="20"/>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C831A">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0D909">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232AA">
            <w:pPr>
              <w:rPr>
                <w:rFonts w:ascii="Times New Roman" w:hAnsi="Times New Roman" w:eastAsia="仿宋_GB2312" w:cs="Times New Roman"/>
                <w:color w:val="000000"/>
                <w:sz w:val="24"/>
                <w:szCs w:val="24"/>
              </w:rPr>
            </w:pPr>
          </w:p>
        </w:tc>
      </w:tr>
      <w:tr w14:paraId="36B26D2B">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AA3AE">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16713">
            <w:pPr>
              <w:rPr>
                <w:rFonts w:ascii="Times New Roman" w:hAnsi="Times New Roman" w:eastAsia="仿宋_GB2312"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D4906">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A4C80">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366DA">
            <w:pPr>
              <w:rPr>
                <w:rFonts w:ascii="Times New Roman" w:hAnsi="Times New Roman" w:eastAsia="仿宋_GB2312" w:cs="Times New Roman"/>
                <w:color w:val="000000"/>
                <w:sz w:val="24"/>
                <w:szCs w:val="24"/>
              </w:rPr>
            </w:pPr>
          </w:p>
        </w:tc>
      </w:tr>
      <w:tr w14:paraId="3EC8B69F">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3F787">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AA565">
            <w:pPr>
              <w:rPr>
                <w:rFonts w:ascii="Times New Roman" w:hAnsi="Times New Roman" w:eastAsia="宋体" w:cs="Times New Roman"/>
                <w:color w:val="000000"/>
                <w:sz w:val="20"/>
                <w:szCs w:val="20"/>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D0DBA">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B2D6E">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6249F">
            <w:pPr>
              <w:rPr>
                <w:rFonts w:ascii="Times New Roman" w:hAnsi="Times New Roman" w:eastAsia="宋体" w:cs="Times New Roman"/>
                <w:color w:val="000000"/>
                <w:sz w:val="24"/>
                <w:szCs w:val="24"/>
              </w:rPr>
            </w:pPr>
          </w:p>
        </w:tc>
      </w:tr>
      <w:tr w14:paraId="396A2D23">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0AB0C">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3B215">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D7245">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081E2">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D4C7B">
            <w:pPr>
              <w:rPr>
                <w:rFonts w:ascii="Times New Roman" w:hAnsi="Times New Roman" w:eastAsia="宋体" w:cs="Times New Roman"/>
                <w:color w:val="000000"/>
                <w:sz w:val="24"/>
                <w:szCs w:val="24"/>
              </w:rPr>
            </w:pPr>
          </w:p>
        </w:tc>
      </w:tr>
      <w:tr w14:paraId="5752F413">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4A6C7">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5A689">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764D5">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15BE2">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D677F">
            <w:pPr>
              <w:rPr>
                <w:rFonts w:ascii="Times New Roman" w:hAnsi="Times New Roman" w:eastAsia="宋体" w:cs="Times New Roman"/>
                <w:color w:val="000000"/>
                <w:sz w:val="24"/>
                <w:szCs w:val="24"/>
              </w:rPr>
            </w:pPr>
          </w:p>
        </w:tc>
      </w:tr>
      <w:tr w14:paraId="79B353C3">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B5291">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42526">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4D2DB">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0488B">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09014">
            <w:pPr>
              <w:rPr>
                <w:rFonts w:ascii="Times New Roman" w:hAnsi="Times New Roman" w:eastAsia="宋体" w:cs="Times New Roman"/>
                <w:color w:val="000000"/>
                <w:sz w:val="24"/>
                <w:szCs w:val="24"/>
              </w:rPr>
            </w:pPr>
          </w:p>
        </w:tc>
      </w:tr>
    </w:tbl>
    <w:p w14:paraId="0C54C16B">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2C242961">
      <w:pPr>
        <w:widowControl/>
        <w:jc w:val="left"/>
        <w:textAlignment w:val="center"/>
        <w:rPr>
          <w:rFonts w:ascii="Times New Roman" w:hAnsi="Times New Roman" w:eastAsia="宋体" w:cs="Times New Roman"/>
          <w:color w:val="000000"/>
          <w:kern w:val="0"/>
          <w:sz w:val="24"/>
          <w:szCs w:val="24"/>
          <w:lang w:bidi="ar"/>
        </w:rPr>
      </w:pPr>
    </w:p>
    <w:p w14:paraId="45FC26BF">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14:paraId="544371F9">
      <w:pPr>
        <w:pStyle w:val="2"/>
        <w:spacing w:line="400" w:lineRule="exact"/>
        <w:rPr>
          <w:rFonts w:ascii="Times New Roman" w:hAnsi="Times New Roman" w:eastAsia="华文中宋" w:cs="Times New Roman"/>
          <w:color w:val="000000"/>
          <w:kern w:val="0"/>
          <w:sz w:val="32"/>
          <w:szCs w:val="32"/>
          <w:lang w:bidi="ar"/>
        </w:rPr>
      </w:pPr>
    </w:p>
    <w:p w14:paraId="1944A824">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65A56985">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1D31D086">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楷体_GB2312" w:cs="Times New Roman"/>
          <w:color w:val="000000"/>
          <w:kern w:val="0"/>
          <w:sz w:val="20"/>
          <w:szCs w:val="20"/>
          <w:lang w:val="en-US" w:eastAsia="zh-CN" w:bidi="ar"/>
        </w:rPr>
        <w:t>蓝山县数据局（蓝山县行政审批服务局）</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9"/>
        <w:tblW w:w="14544" w:type="dxa"/>
        <w:jc w:val="center"/>
        <w:tblLayout w:type="fixed"/>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748196EA">
        <w:tblPrEx>
          <w:tblCellMar>
            <w:top w:w="0" w:type="dxa"/>
            <w:left w:w="108" w:type="dxa"/>
            <w:bottom w:w="0" w:type="dxa"/>
            <w:right w:w="108" w:type="dxa"/>
          </w:tblCellMar>
        </w:tblPrEx>
        <w:trPr>
          <w:trHeight w:val="606" w:hRule="atLeast"/>
          <w:jc w:val="center"/>
        </w:trPr>
        <w:tc>
          <w:tcPr>
            <w:tcW w:w="723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1B44C3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73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4C0E48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2B411636">
        <w:tblPrEx>
          <w:tblCellMar>
            <w:top w:w="0" w:type="dxa"/>
            <w:left w:w="108" w:type="dxa"/>
            <w:bottom w:w="0" w:type="dxa"/>
            <w:right w:w="108" w:type="dxa"/>
          </w:tblCellMar>
        </w:tblPrEx>
        <w:trPr>
          <w:trHeight w:val="495" w:hRule="atLeast"/>
          <w:jc w:val="center"/>
        </w:trPr>
        <w:tc>
          <w:tcPr>
            <w:tcW w:w="9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12064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12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D7222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36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96B08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13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3D3D2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8CCD9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11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AD4CB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36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0A7EE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14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C52E7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628ABAEA">
        <w:tblPrEx>
          <w:tblCellMar>
            <w:top w:w="0" w:type="dxa"/>
            <w:left w:w="108" w:type="dxa"/>
            <w:bottom w:w="0" w:type="dxa"/>
            <w:right w:w="108" w:type="dxa"/>
          </w:tblCellMar>
        </w:tblPrEx>
        <w:trPr>
          <w:trHeight w:val="864" w:hRule="atLeast"/>
          <w:jc w:val="center"/>
        </w:trPr>
        <w:tc>
          <w:tcPr>
            <w:tcW w:w="9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D332EB">
            <w:pPr>
              <w:jc w:val="center"/>
              <w:rPr>
                <w:rFonts w:ascii="Times New Roman" w:hAnsi="Times New Roman" w:eastAsia="仿宋_GB2312" w:cs="Times New Roman"/>
                <w:color w:val="000000"/>
                <w:sz w:val="22"/>
              </w:rPr>
            </w:pPr>
          </w:p>
        </w:tc>
        <w:tc>
          <w:tcPr>
            <w:tcW w:w="12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B21278">
            <w:pPr>
              <w:jc w:val="center"/>
              <w:rPr>
                <w:rFonts w:ascii="Times New Roman" w:hAnsi="Times New Roman" w:eastAsia="仿宋_GB2312" w:cs="Times New Roman"/>
                <w:color w:val="000000"/>
                <w:sz w:val="22"/>
              </w:rPr>
            </w:pP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FAB1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84572">
            <w:pPr>
              <w:widowControl/>
              <w:jc w:val="center"/>
              <w:textAlignment w:val="center"/>
              <w:rPr>
                <w:rFonts w:hint="eastAsia" w:ascii="Times New Roman" w:hAnsi="Times New Roman" w:eastAsia="仿宋_GB2312" w:cs="Times New Roman"/>
                <w:b/>
                <w:bCs/>
                <w:color w:val="000000"/>
                <w:kern w:val="0"/>
                <w:sz w:val="22"/>
                <w:lang w:eastAsia="zh-CN" w:bidi="ar"/>
              </w:rPr>
            </w:pPr>
            <w:r>
              <w:rPr>
                <w:rFonts w:ascii="Times New Roman" w:hAnsi="Times New Roman" w:eastAsia="仿宋_GB2312" w:cs="Times New Roman"/>
                <w:b/>
                <w:bCs/>
                <w:color w:val="000000"/>
                <w:kern w:val="0"/>
                <w:sz w:val="22"/>
                <w:lang w:bidi="ar"/>
              </w:rPr>
              <w:t>公务用车</w:t>
            </w:r>
          </w:p>
          <w:p w14:paraId="49B05C4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购置费</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0463C">
            <w:pPr>
              <w:widowControl/>
              <w:jc w:val="center"/>
              <w:textAlignment w:val="center"/>
              <w:rPr>
                <w:rFonts w:hint="eastAsia" w:ascii="Times New Roman" w:hAnsi="Times New Roman" w:eastAsia="仿宋_GB2312" w:cs="Times New Roman"/>
                <w:b/>
                <w:bCs/>
                <w:color w:val="000000"/>
                <w:kern w:val="0"/>
                <w:sz w:val="22"/>
                <w:lang w:eastAsia="zh-CN" w:bidi="ar"/>
              </w:rPr>
            </w:pPr>
            <w:r>
              <w:rPr>
                <w:rFonts w:ascii="Times New Roman" w:hAnsi="Times New Roman" w:eastAsia="仿宋_GB2312" w:cs="Times New Roman"/>
                <w:b/>
                <w:bCs/>
                <w:color w:val="000000"/>
                <w:kern w:val="0"/>
                <w:sz w:val="22"/>
                <w:lang w:bidi="ar"/>
              </w:rPr>
              <w:t>公务用车</w:t>
            </w:r>
          </w:p>
          <w:p w14:paraId="02B89DC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运行维护费</w:t>
            </w:r>
          </w:p>
        </w:tc>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64A297">
            <w:pPr>
              <w:jc w:val="center"/>
              <w:rPr>
                <w:rFonts w:ascii="Times New Roman" w:hAnsi="Times New Roman" w:eastAsia="仿宋_GB2312" w:cs="Times New Roman"/>
                <w:color w:val="000000"/>
                <w:sz w:val="22"/>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672B4D">
            <w:pPr>
              <w:jc w:val="center"/>
              <w:rPr>
                <w:rFonts w:ascii="Times New Roman" w:hAnsi="Times New Roman" w:eastAsia="仿宋_GB2312" w:cs="Times New Roman"/>
                <w:color w:val="000000"/>
                <w:sz w:val="22"/>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52CBAF">
            <w:pPr>
              <w:jc w:val="center"/>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A73B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69E8C">
            <w:pPr>
              <w:widowControl/>
              <w:jc w:val="center"/>
              <w:textAlignment w:val="center"/>
              <w:rPr>
                <w:rFonts w:hint="eastAsia" w:ascii="Times New Roman" w:hAnsi="Times New Roman" w:eastAsia="仿宋_GB2312" w:cs="Times New Roman"/>
                <w:b/>
                <w:bCs/>
                <w:color w:val="000000"/>
                <w:kern w:val="0"/>
                <w:sz w:val="22"/>
                <w:lang w:eastAsia="zh-CN" w:bidi="ar"/>
              </w:rPr>
            </w:pPr>
            <w:r>
              <w:rPr>
                <w:rFonts w:ascii="Times New Roman" w:hAnsi="Times New Roman" w:eastAsia="仿宋_GB2312" w:cs="Times New Roman"/>
                <w:b/>
                <w:bCs/>
                <w:color w:val="000000"/>
                <w:kern w:val="0"/>
                <w:sz w:val="22"/>
                <w:lang w:bidi="ar"/>
              </w:rPr>
              <w:t>公务用车</w:t>
            </w:r>
          </w:p>
          <w:p w14:paraId="6C36CFB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购置费</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5FD0B">
            <w:pPr>
              <w:widowControl/>
              <w:jc w:val="center"/>
              <w:textAlignment w:val="center"/>
              <w:rPr>
                <w:rFonts w:hint="eastAsia" w:ascii="Times New Roman" w:hAnsi="Times New Roman" w:eastAsia="仿宋_GB2312" w:cs="Times New Roman"/>
                <w:b/>
                <w:bCs/>
                <w:color w:val="000000"/>
                <w:kern w:val="0"/>
                <w:sz w:val="22"/>
                <w:lang w:eastAsia="zh-CN" w:bidi="ar"/>
              </w:rPr>
            </w:pPr>
            <w:r>
              <w:rPr>
                <w:rFonts w:ascii="Times New Roman" w:hAnsi="Times New Roman" w:eastAsia="仿宋_GB2312" w:cs="Times New Roman"/>
                <w:b/>
                <w:bCs/>
                <w:color w:val="000000"/>
                <w:kern w:val="0"/>
                <w:sz w:val="22"/>
                <w:lang w:bidi="ar"/>
              </w:rPr>
              <w:t>公务用车</w:t>
            </w:r>
          </w:p>
          <w:p w14:paraId="14F363C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运行维护费</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198C1B">
            <w:pPr>
              <w:jc w:val="center"/>
              <w:rPr>
                <w:rFonts w:ascii="Times New Roman" w:hAnsi="Times New Roman" w:eastAsia="仿宋_GB2312" w:cs="Times New Roman"/>
                <w:color w:val="000000"/>
                <w:sz w:val="22"/>
              </w:rPr>
            </w:pPr>
          </w:p>
        </w:tc>
      </w:tr>
      <w:tr w14:paraId="32AA2340">
        <w:tblPrEx>
          <w:tblCellMar>
            <w:top w:w="0" w:type="dxa"/>
            <w:left w:w="108" w:type="dxa"/>
            <w:bottom w:w="0" w:type="dxa"/>
            <w:right w:w="108" w:type="dxa"/>
          </w:tblCellMar>
        </w:tblPrEx>
        <w:trPr>
          <w:trHeight w:val="614"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D96F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1BE8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A631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A39A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9021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57D9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58F7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53BE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F6F0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6E4D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1F74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E42D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6946D6CF">
        <w:tblPrEx>
          <w:tblCellMar>
            <w:top w:w="0" w:type="dxa"/>
            <w:left w:w="108" w:type="dxa"/>
            <w:bottom w:w="0" w:type="dxa"/>
            <w:right w:w="108" w:type="dxa"/>
          </w:tblCellMar>
        </w:tblPrEx>
        <w:trPr>
          <w:trHeight w:val="579"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25F2F">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26537">
            <w:pPr>
              <w:rPr>
                <w:rFonts w:ascii="Times New Roman" w:hAnsi="Times New Roman" w:eastAsia="仿宋_GB2312" w:cs="Times New Roman"/>
                <w:color w:val="000000"/>
                <w:sz w:val="22"/>
              </w:rPr>
            </w:pP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6EFC5">
            <w:pPr>
              <w:rPr>
                <w:rFonts w:ascii="Times New Roman" w:hAnsi="Times New Roman" w:eastAsia="仿宋_GB2312" w:cs="Times New Roman"/>
                <w:color w:val="000000"/>
                <w:sz w:val="22"/>
              </w:rPr>
            </w:pP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C7480">
            <w:pPr>
              <w:rPr>
                <w:rFonts w:ascii="Times New Roman" w:hAnsi="Times New Roman" w:eastAsia="仿宋_GB2312" w:cs="Times New Roman"/>
                <w:color w:val="000000"/>
                <w:sz w:val="22"/>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D6390">
            <w:pPr>
              <w:rPr>
                <w:rFonts w:ascii="Times New Roman" w:hAnsi="Times New Roman" w:eastAsia="仿宋_GB2312" w:cs="Times New Roman"/>
                <w:color w:val="000000"/>
                <w:sz w:val="22"/>
              </w:rPr>
            </w:pP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D41E0">
            <w:pPr>
              <w:rPr>
                <w:rFonts w:ascii="Times New Roman" w:hAnsi="Times New Roman" w:eastAsia="仿宋_GB2312" w:cs="Times New Roman"/>
                <w:color w:val="000000"/>
                <w:sz w:val="22"/>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F4700">
            <w:pPr>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6DFE0">
            <w:pPr>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09400">
            <w:pPr>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31660">
            <w:pPr>
              <w:rPr>
                <w:rFonts w:ascii="Times New Roman" w:hAnsi="Times New Roman" w:eastAsia="仿宋_GB2312" w:cs="Times New Roman"/>
                <w:color w:val="000000"/>
                <w:sz w:val="22"/>
              </w:rPr>
            </w:pP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3C135">
            <w:pPr>
              <w:rPr>
                <w:rFonts w:ascii="Times New Roman" w:hAnsi="Times New Roman" w:eastAsia="仿宋_GB2312" w:cs="Times New Roman"/>
                <w:color w:val="000000"/>
                <w:sz w:val="22"/>
              </w:rPr>
            </w:pP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A0114">
            <w:pPr>
              <w:rPr>
                <w:rFonts w:ascii="Times New Roman" w:hAnsi="Times New Roman" w:eastAsia="仿宋_GB2312" w:cs="Times New Roman"/>
                <w:color w:val="000000"/>
                <w:sz w:val="22"/>
              </w:rPr>
            </w:pPr>
          </w:p>
        </w:tc>
      </w:tr>
    </w:tbl>
    <w:p w14:paraId="7FE7FC4E">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5201C59C">
      <w:pPr>
        <w:autoSpaceDE w:val="0"/>
        <w:autoSpaceDN w:val="0"/>
        <w:adjustRightInd w:val="0"/>
        <w:ind w:left="315" w:leftChars="150"/>
        <w:jc w:val="left"/>
        <w:rPr>
          <w:rFonts w:ascii="Times New Roman" w:hAnsi="Times New Roman" w:eastAsia="宋体" w:cs="Times New Roman"/>
          <w:kern w:val="0"/>
          <w:sz w:val="24"/>
          <w:szCs w:val="24"/>
        </w:rPr>
      </w:pPr>
    </w:p>
    <w:p w14:paraId="00160FD7">
      <w:pPr>
        <w:autoSpaceDE w:val="0"/>
        <w:autoSpaceDN w:val="0"/>
        <w:adjustRightInd w:val="0"/>
        <w:ind w:left="315" w:leftChars="150"/>
        <w:jc w:val="left"/>
        <w:rPr>
          <w:rFonts w:ascii="Times New Roman" w:hAnsi="Times New Roman" w:eastAsia="宋体" w:cs="Times New Roman"/>
          <w:kern w:val="0"/>
          <w:sz w:val="24"/>
          <w:szCs w:val="24"/>
        </w:rPr>
      </w:pPr>
    </w:p>
    <w:p w14:paraId="200E9588">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p>
    <w:p w14:paraId="6FE3CF25">
      <w:pPr>
        <w:pStyle w:val="14"/>
        <w:spacing w:line="360" w:lineRule="auto"/>
        <w:jc w:val="center"/>
        <w:rPr>
          <w:rFonts w:ascii="Times New Roman" w:hAnsi="Times New Roman" w:eastAsia="方正小标宋_GBK" w:cs="Times New Roman"/>
          <w:sz w:val="52"/>
          <w:szCs w:val="52"/>
        </w:rPr>
      </w:pPr>
    </w:p>
    <w:p w14:paraId="0795CD98">
      <w:pPr>
        <w:pStyle w:val="14"/>
        <w:spacing w:line="360" w:lineRule="auto"/>
        <w:jc w:val="center"/>
        <w:rPr>
          <w:rFonts w:ascii="Times New Roman" w:hAnsi="Times New Roman" w:eastAsia="方正小标宋_GBK" w:cs="Times New Roman"/>
          <w:sz w:val="52"/>
          <w:szCs w:val="52"/>
        </w:rPr>
      </w:pPr>
    </w:p>
    <w:p w14:paraId="51D57F1E">
      <w:pPr>
        <w:pStyle w:val="14"/>
        <w:spacing w:line="360" w:lineRule="auto"/>
        <w:jc w:val="center"/>
        <w:rPr>
          <w:rFonts w:ascii="Times New Roman" w:hAnsi="Times New Roman" w:eastAsia="方正小标宋_GBK" w:cs="Times New Roman"/>
          <w:sz w:val="52"/>
          <w:szCs w:val="52"/>
        </w:rPr>
      </w:pPr>
    </w:p>
    <w:p w14:paraId="5FFDE41A">
      <w:pPr>
        <w:pStyle w:val="14"/>
        <w:spacing w:line="360" w:lineRule="auto"/>
        <w:jc w:val="center"/>
        <w:rPr>
          <w:rFonts w:ascii="Times New Roman" w:hAnsi="Times New Roman" w:eastAsia="方正小标宋_GBK" w:cs="Times New Roman"/>
          <w:sz w:val="52"/>
          <w:szCs w:val="52"/>
        </w:rPr>
      </w:pPr>
    </w:p>
    <w:p w14:paraId="6E62CB9A">
      <w:pPr>
        <w:pStyle w:val="14"/>
        <w:spacing w:line="360" w:lineRule="auto"/>
        <w:jc w:val="center"/>
        <w:rPr>
          <w:rFonts w:ascii="Times New Roman" w:hAnsi="Times New Roman" w:eastAsia="方正小标宋_GBK" w:cs="Times New Roman"/>
          <w:sz w:val="52"/>
          <w:szCs w:val="52"/>
        </w:rPr>
      </w:pPr>
    </w:p>
    <w:p w14:paraId="11A96D30">
      <w:pPr>
        <w:pStyle w:val="14"/>
        <w:spacing w:line="360" w:lineRule="auto"/>
        <w:jc w:val="center"/>
        <w:rPr>
          <w:rFonts w:ascii="Times New Roman" w:hAnsi="Times New Roman" w:eastAsia="方正小标宋_GBK" w:cs="Times New Roman"/>
          <w:sz w:val="52"/>
          <w:szCs w:val="52"/>
        </w:rPr>
      </w:pPr>
    </w:p>
    <w:p w14:paraId="7A3FF2A4">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290C7F65">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219A68DF">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2E70B17F">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18BFD174">
      <w:pPr>
        <w:pStyle w:val="14"/>
        <w:overflowPunct w:val="0"/>
        <w:autoSpaceDE/>
        <w:autoSpaceDN/>
        <w:spacing w:line="600" w:lineRule="exact"/>
        <w:ind w:firstLine="640" w:firstLineChars="200"/>
        <w:jc w:val="both"/>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eastAsia="zh-CN"/>
        </w:rPr>
        <w:t>2025</w:t>
      </w:r>
      <w:r>
        <w:rPr>
          <w:rFonts w:ascii="Times New Roman" w:hAnsi="Times New Roman" w:eastAsia="仿宋_GB2312" w:cs="Times New Roman"/>
          <w:color w:val="auto"/>
          <w:sz w:val="32"/>
          <w:szCs w:val="32"/>
        </w:rPr>
        <w:t>年度收、支总计</w:t>
      </w:r>
      <w:r>
        <w:rPr>
          <w:rFonts w:hint="eastAsia" w:ascii="Times New Roman" w:hAnsi="Times New Roman" w:eastAsia="仿宋_GB2312" w:cs="Times New Roman"/>
          <w:color w:val="auto"/>
          <w:sz w:val="32"/>
          <w:szCs w:val="32"/>
          <w:lang w:val="en-US" w:eastAsia="zh-CN"/>
        </w:rPr>
        <w:t>2064.57</w:t>
      </w:r>
      <w:r>
        <w:rPr>
          <w:rFonts w:ascii="Times New Roman" w:hAnsi="Times New Roman" w:eastAsia="仿宋_GB2312" w:cs="Times New Roman"/>
          <w:color w:val="auto"/>
          <w:sz w:val="32"/>
          <w:szCs w:val="32"/>
        </w:rPr>
        <w:t>元。与上年相比，</w:t>
      </w:r>
      <w:r>
        <w:rPr>
          <w:rFonts w:hint="eastAsia" w:ascii="Times New Roman" w:hAnsi="Times New Roman" w:eastAsia="仿宋_GB2312" w:cs="Times New Roman"/>
          <w:color w:val="auto"/>
          <w:sz w:val="32"/>
          <w:szCs w:val="32"/>
          <w:lang w:val="en-US" w:eastAsia="zh-CN"/>
        </w:rPr>
        <w:t>减少232.36</w:t>
      </w:r>
      <w:r>
        <w:rPr>
          <w:rFonts w:ascii="Times New Roman" w:hAnsi="Times New Roman" w:eastAsia="仿宋_GB2312" w:cs="Times New Roman"/>
          <w:color w:val="auto"/>
          <w:sz w:val="32"/>
          <w:szCs w:val="32"/>
        </w:rPr>
        <w:t>万元，</w:t>
      </w:r>
      <w:r>
        <w:rPr>
          <w:rFonts w:hint="eastAsia" w:ascii="Times New Roman" w:hAnsi="Times New Roman" w:eastAsia="仿宋_GB2312" w:cs="Times New Roman"/>
          <w:color w:val="auto"/>
          <w:sz w:val="32"/>
          <w:szCs w:val="32"/>
          <w:lang w:val="en-US" w:eastAsia="zh-CN"/>
        </w:rPr>
        <w:t>减少10.11</w:t>
      </w:r>
      <w:r>
        <w:rPr>
          <w:rFonts w:ascii="Times New Roman" w:hAnsi="Times New Roman" w:eastAsia="仿宋_GB2312" w:cs="Times New Roman"/>
          <w:color w:val="auto"/>
          <w:sz w:val="32"/>
          <w:szCs w:val="32"/>
        </w:rPr>
        <w:t>%，主要是</w:t>
      </w:r>
      <w:r>
        <w:rPr>
          <w:rFonts w:hint="eastAsia" w:ascii="Times New Roman" w:hAnsi="Times New Roman" w:eastAsia="仿宋_GB2312" w:cs="Times New Roman"/>
          <w:color w:val="auto"/>
          <w:sz w:val="32"/>
          <w:szCs w:val="32"/>
          <w:lang w:val="en-US" w:eastAsia="zh-CN"/>
        </w:rPr>
        <w:t>合理压缩开支。</w:t>
      </w:r>
    </w:p>
    <w:p w14:paraId="27A658C2">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69FBCF44">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color w:val="auto"/>
          <w:sz w:val="32"/>
          <w:szCs w:val="32"/>
          <w:lang w:val="en-US" w:eastAsia="zh-CN"/>
        </w:rPr>
        <w:t>2064.57</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1959.59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94.91</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104.99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5.09</w:t>
      </w:r>
      <w:r>
        <w:rPr>
          <w:rFonts w:ascii="Times New Roman" w:hAnsi="Times New Roman" w:eastAsia="仿宋_GB2312" w:cs="Times New Roman"/>
          <w:sz w:val="32"/>
          <w:szCs w:val="32"/>
        </w:rPr>
        <w:t>%。</w:t>
      </w:r>
    </w:p>
    <w:p w14:paraId="37696D65">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3ADF0CA2">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color w:val="auto"/>
          <w:sz w:val="32"/>
          <w:szCs w:val="32"/>
          <w:lang w:val="en-US" w:eastAsia="zh-CN"/>
        </w:rPr>
        <w:t>2064.57</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870.20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42.15</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1194.34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57.85</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0061BB6A">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5842EA9E">
      <w:pPr>
        <w:pStyle w:val="14"/>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1959.59</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val="en-US" w:eastAsia="zh-CN"/>
        </w:rPr>
        <w:t>减少310.81</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减少13.69</w:t>
      </w:r>
      <w:r>
        <w:rPr>
          <w:rFonts w:ascii="Times New Roman" w:hAnsi="Times New Roman" w:eastAsia="仿宋_GB2312" w:cs="Times New Roman"/>
          <w:sz w:val="32"/>
          <w:szCs w:val="32"/>
        </w:rPr>
        <w:t>%，</w:t>
      </w:r>
      <w:r>
        <w:rPr>
          <w:rFonts w:ascii="Times New Roman" w:hAnsi="Times New Roman" w:eastAsia="仿宋_GB2312" w:cs="Times New Roman"/>
          <w:color w:val="auto"/>
          <w:sz w:val="32"/>
          <w:szCs w:val="32"/>
        </w:rPr>
        <w:t>主要是</w:t>
      </w:r>
      <w:r>
        <w:rPr>
          <w:rFonts w:hint="eastAsia" w:ascii="Times New Roman" w:hAnsi="Times New Roman" w:eastAsia="仿宋_GB2312" w:cs="Times New Roman"/>
          <w:color w:val="auto"/>
          <w:sz w:val="32"/>
          <w:szCs w:val="32"/>
          <w:lang w:val="en-US" w:eastAsia="zh-CN"/>
        </w:rPr>
        <w:t>减少了各项审批支出</w:t>
      </w:r>
      <w:r>
        <w:rPr>
          <w:rFonts w:hint="eastAsia" w:ascii="Times New Roman" w:hAnsi="Times New Roman" w:eastAsia="仿宋_GB2312" w:cs="Times New Roman"/>
          <w:color w:val="auto"/>
          <w:sz w:val="32"/>
          <w:szCs w:val="32"/>
          <w:lang w:eastAsia="zh-CN"/>
        </w:rPr>
        <w:t>。</w:t>
      </w:r>
    </w:p>
    <w:p w14:paraId="122B962F">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527BB4D7">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279324EB">
      <w:pPr>
        <w:pStyle w:val="14"/>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1959.59</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94.92</w:t>
      </w:r>
      <w:r>
        <w:rPr>
          <w:rFonts w:ascii="Times New Roman" w:hAnsi="Times New Roman" w:eastAsia="仿宋_GB2312" w:cs="Times New Roman"/>
          <w:sz w:val="32"/>
          <w:szCs w:val="32"/>
        </w:rPr>
        <w:t>%，与上年相比，财政拨款支出</w:t>
      </w:r>
      <w:r>
        <w:rPr>
          <w:rFonts w:hint="eastAsia" w:ascii="Times New Roman" w:hAnsi="Times New Roman" w:eastAsia="仿宋_GB2312" w:cs="Times New Roman"/>
          <w:sz w:val="32"/>
          <w:szCs w:val="32"/>
          <w:lang w:val="en-US" w:eastAsia="zh-CN"/>
        </w:rPr>
        <w:t>减少310.81</w:t>
      </w:r>
      <w:r>
        <w:rPr>
          <w:rFonts w:ascii="Times New Roman" w:hAnsi="Times New Roman" w:eastAsia="仿宋_GB2312" w:cs="Times New Roman"/>
          <w:sz w:val="32"/>
          <w:szCs w:val="32"/>
        </w:rPr>
        <w:t>万元，</w:t>
      </w:r>
      <w:r>
        <w:rPr>
          <w:rFonts w:hint="eastAsia" w:ascii="Times New Roman" w:hAnsi="Times New Roman" w:eastAsia="仿宋_GB2312" w:cs="Times New Roman"/>
          <w:color w:val="auto"/>
          <w:sz w:val="32"/>
          <w:szCs w:val="32"/>
          <w:lang w:val="en-US" w:eastAsia="zh-CN"/>
        </w:rPr>
        <w:t>减少13</w:t>
      </w:r>
      <w:r>
        <w:rPr>
          <w:rFonts w:ascii="Times New Roman" w:hAnsi="Times New Roman" w:eastAsia="仿宋_GB2312" w:cs="Times New Roman"/>
          <w:color w:val="auto"/>
          <w:sz w:val="32"/>
          <w:szCs w:val="32"/>
        </w:rPr>
        <w:t>%，主要</w:t>
      </w:r>
      <w:r>
        <w:rPr>
          <w:rFonts w:hint="eastAsia" w:ascii="Times New Roman" w:hAnsi="Times New Roman" w:eastAsia="仿宋_GB2312" w:cs="Times New Roman"/>
          <w:color w:val="auto"/>
          <w:sz w:val="32"/>
          <w:szCs w:val="32"/>
          <w:lang w:val="en-US" w:eastAsia="zh-CN"/>
        </w:rPr>
        <w:t>是职能转变，审批</w:t>
      </w:r>
      <w:r>
        <w:rPr>
          <w:rFonts w:hint="eastAsia" w:ascii="Times New Roman" w:hAnsi="Times New Roman" w:eastAsia="仿宋_GB2312" w:cs="Times New Roman"/>
          <w:color w:val="auto"/>
          <w:sz w:val="32"/>
          <w:szCs w:val="32"/>
          <w:lang w:eastAsia="zh-CN"/>
        </w:rPr>
        <w:t>支出</w:t>
      </w:r>
      <w:r>
        <w:rPr>
          <w:rFonts w:hint="eastAsia" w:ascii="Times New Roman" w:hAnsi="Times New Roman" w:eastAsia="仿宋_GB2312" w:cs="Times New Roman"/>
          <w:color w:val="auto"/>
          <w:sz w:val="32"/>
          <w:szCs w:val="32"/>
          <w:lang w:val="en-US" w:eastAsia="zh-CN"/>
        </w:rPr>
        <w:t>减少</w:t>
      </w:r>
      <w:r>
        <w:rPr>
          <w:rFonts w:hint="eastAsia" w:ascii="Times New Roman" w:hAnsi="Times New Roman" w:eastAsia="仿宋_GB2312" w:cs="Times New Roman"/>
          <w:color w:val="auto"/>
          <w:sz w:val="32"/>
          <w:szCs w:val="32"/>
          <w:lang w:eastAsia="zh-CN"/>
        </w:rPr>
        <w:t>。</w:t>
      </w:r>
    </w:p>
    <w:p w14:paraId="4C5A3C40">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3602D5D7">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1959.59</w:t>
      </w:r>
      <w:r>
        <w:rPr>
          <w:rFonts w:ascii="Times New Roman" w:hAnsi="Times New Roman" w:eastAsia="仿宋_GB2312" w:cs="Times New Roman"/>
          <w:sz w:val="32"/>
          <w:szCs w:val="32"/>
        </w:rPr>
        <w:t>万元，主要用于以下方面：</w:t>
      </w:r>
      <w:r>
        <w:rPr>
          <w:rFonts w:hint="eastAsia" w:ascii="Times New Roman" w:hAnsi="Times New Roman" w:eastAsia="仿宋_GB2312" w:cs="Times New Roman"/>
          <w:sz w:val="32"/>
          <w:szCs w:val="32"/>
          <w:lang w:val="en-US" w:eastAsia="zh-CN"/>
        </w:rPr>
        <w:t>行政运行</w:t>
      </w:r>
      <w:r>
        <w:rPr>
          <w:rFonts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765.21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39.05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其他数据事务支出为1194.37，占60.95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0FA510F0">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38C836BF">
      <w:pPr>
        <w:pStyle w:val="14"/>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eastAsia="zh-CN"/>
        </w:rPr>
        <w:t>2025</w:t>
      </w:r>
      <w:r>
        <w:rPr>
          <w:rFonts w:ascii="Times New Roman" w:hAnsi="Times New Roman" w:eastAsia="仿宋_GB2312" w:cs="Times New Roman"/>
          <w:color w:val="auto"/>
          <w:sz w:val="32"/>
          <w:szCs w:val="32"/>
        </w:rPr>
        <w:t>年度财政拨款支出年初预算数为</w:t>
      </w:r>
      <w:r>
        <w:rPr>
          <w:rFonts w:hint="eastAsia" w:ascii="Times New Roman" w:hAnsi="Times New Roman" w:eastAsia="仿宋_GB2312" w:cs="Times New Roman"/>
          <w:color w:val="auto"/>
          <w:sz w:val="32"/>
          <w:szCs w:val="32"/>
          <w:lang w:val="en-US" w:eastAsia="zh-CN"/>
        </w:rPr>
        <w:t>1437.10</w:t>
      </w:r>
      <w:r>
        <w:rPr>
          <w:rFonts w:ascii="Times New Roman" w:hAnsi="Times New Roman" w:eastAsia="仿宋_GB2312" w:cs="Times New Roman"/>
          <w:color w:val="auto"/>
          <w:sz w:val="32"/>
          <w:szCs w:val="32"/>
        </w:rPr>
        <w:t>万元，支出决算数为</w:t>
      </w:r>
      <w:r>
        <w:rPr>
          <w:rFonts w:hint="eastAsia" w:ascii="Times New Roman" w:hAnsi="Times New Roman" w:eastAsia="仿宋_GB2312" w:cs="Times New Roman"/>
          <w:color w:val="auto"/>
          <w:sz w:val="32"/>
          <w:szCs w:val="32"/>
          <w:lang w:val="en-US" w:eastAsia="zh-CN"/>
        </w:rPr>
        <w:t>1959.59</w:t>
      </w:r>
      <w:r>
        <w:rPr>
          <w:rFonts w:ascii="Times New Roman" w:hAnsi="Times New Roman" w:eastAsia="仿宋_GB2312" w:cs="Times New Roman"/>
          <w:color w:val="auto"/>
          <w:sz w:val="32"/>
          <w:szCs w:val="32"/>
        </w:rPr>
        <w:t>万元，完成年初预算的</w:t>
      </w:r>
      <w:r>
        <w:rPr>
          <w:rFonts w:hint="eastAsia" w:ascii="Times New Roman" w:hAnsi="Times New Roman" w:eastAsia="仿宋_GB2312" w:cs="Times New Roman"/>
          <w:color w:val="auto"/>
          <w:sz w:val="32"/>
          <w:szCs w:val="32"/>
          <w:lang w:val="en-US" w:eastAsia="zh-CN"/>
        </w:rPr>
        <w:t>136.36</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主要是数据事务增加。</w:t>
      </w:r>
    </w:p>
    <w:p w14:paraId="44755635">
      <w:pPr>
        <w:pStyle w:val="14"/>
        <w:numPr>
          <w:ilvl w:val="0"/>
          <w:numId w:val="2"/>
        </w:numPr>
        <w:overflowPunct w:val="0"/>
        <w:autoSpaceDE/>
        <w:autoSpaceDN/>
        <w:spacing w:line="600" w:lineRule="exact"/>
        <w:ind w:left="-10" w:leftChars="0" w:firstLine="640" w:firstLineChars="0"/>
        <w:jc w:val="both"/>
        <w:rPr>
          <w:rFonts w:hint="eastAsia" w:ascii="Times New Roman" w:hAnsi="Times New Roman" w:eastAsia="仿宋_GB2312" w:cs="Times New Roman"/>
          <w:color w:val="auto"/>
          <w:sz w:val="32"/>
          <w:szCs w:val="32"/>
          <w:lang w:val="en-US" w:eastAsia="zh-CN"/>
        </w:rPr>
      </w:pPr>
      <w:r>
        <w:rPr>
          <w:rFonts w:ascii="Times New Roman" w:hAnsi="Times New Roman" w:eastAsia="仿宋_GB2312" w:cs="Times New Roman"/>
          <w:color w:val="auto"/>
          <w:sz w:val="32"/>
          <w:szCs w:val="32"/>
        </w:rPr>
        <w:t>一般公共服务</w:t>
      </w:r>
      <w:r>
        <w:rPr>
          <w:rFonts w:hint="eastAsia" w:ascii="Times New Roman" w:hAnsi="Times New Roman" w:eastAsia="仿宋_GB2312" w:cs="Times New Roman"/>
          <w:color w:val="auto"/>
          <w:sz w:val="32"/>
          <w:szCs w:val="32"/>
          <w:lang w:eastAsia="zh-CN"/>
        </w:rPr>
        <w:t>支出</w:t>
      </w:r>
      <w:r>
        <w:rPr>
          <w:rFonts w:ascii="Times New Roman" w:hAnsi="Times New Roman" w:eastAsia="仿宋_GB2312" w:cs="Times New Roman"/>
          <w:color w:val="auto"/>
          <w:sz w:val="32"/>
          <w:szCs w:val="32"/>
        </w:rPr>
        <w:t>（类）</w:t>
      </w:r>
      <w:r>
        <w:rPr>
          <w:rFonts w:hint="eastAsia" w:ascii="Times New Roman" w:hAnsi="Times New Roman" w:eastAsia="仿宋_GB2312" w:cs="Times New Roman"/>
          <w:color w:val="auto"/>
          <w:sz w:val="32"/>
          <w:szCs w:val="32"/>
          <w:lang w:val="en-US" w:eastAsia="zh-CN"/>
        </w:rPr>
        <w:t>数据事务</w:t>
      </w:r>
      <w:r>
        <w:rPr>
          <w:rFonts w:hint="eastAsia" w:ascii="Times New Roman" w:hAnsi="Times New Roman" w:eastAsia="仿宋_GB2312" w:cs="Times New Roman"/>
          <w:color w:val="auto"/>
          <w:sz w:val="32"/>
          <w:szCs w:val="32"/>
          <w:lang w:eastAsia="zh-CN"/>
        </w:rPr>
        <w:t>（款）</w:t>
      </w:r>
      <w:r>
        <w:rPr>
          <w:rFonts w:hint="eastAsia" w:ascii="Times New Roman" w:hAnsi="Times New Roman" w:eastAsia="仿宋_GB2312" w:cs="Times New Roman"/>
          <w:color w:val="auto"/>
          <w:sz w:val="32"/>
          <w:szCs w:val="32"/>
          <w:lang w:val="en-US" w:eastAsia="zh-CN"/>
        </w:rPr>
        <w:t>行政运行</w:t>
      </w:r>
      <w:r>
        <w:rPr>
          <w:rFonts w:hint="eastAsia" w:ascii="Times New Roman" w:hAnsi="Times New Roman" w:eastAsia="仿宋_GB2312" w:cs="Times New Roman"/>
          <w:color w:val="auto"/>
          <w:sz w:val="32"/>
          <w:szCs w:val="32"/>
          <w:lang w:eastAsia="zh-CN"/>
        </w:rPr>
        <w:t>（项）</w:t>
      </w:r>
    </w:p>
    <w:p w14:paraId="485A7FC8">
      <w:pPr>
        <w:pStyle w:val="14"/>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val="en-US" w:eastAsia="zh-CN"/>
        </w:rPr>
        <w:t xml:space="preserve"> </w:t>
      </w:r>
      <w:r>
        <w:rPr>
          <w:rFonts w:ascii="Times New Roman" w:hAnsi="Times New Roman" w:eastAsia="仿宋_GB2312" w:cs="Times New Roman"/>
          <w:color w:val="auto"/>
          <w:sz w:val="32"/>
          <w:szCs w:val="32"/>
        </w:rPr>
        <w:t>年初预算</w:t>
      </w:r>
      <w:r>
        <w:rPr>
          <w:rFonts w:hint="eastAsia" w:ascii="Times New Roman" w:hAnsi="Times New Roman" w:eastAsia="仿宋_GB2312" w:cs="Times New Roman"/>
          <w:color w:val="auto"/>
          <w:sz w:val="32"/>
          <w:szCs w:val="32"/>
          <w:lang w:val="en-US" w:eastAsia="zh-CN"/>
        </w:rPr>
        <w:t>818.22</w:t>
      </w:r>
      <w:r>
        <w:rPr>
          <w:rFonts w:ascii="Times New Roman" w:hAnsi="Times New Roman" w:eastAsia="仿宋_GB2312" w:cs="Times New Roman"/>
          <w:color w:val="auto"/>
          <w:sz w:val="32"/>
          <w:szCs w:val="32"/>
        </w:rPr>
        <w:t>为万元，支出决算为</w:t>
      </w:r>
      <w:r>
        <w:rPr>
          <w:rFonts w:hint="eastAsia" w:ascii="Times New Roman" w:hAnsi="Times New Roman" w:eastAsia="仿宋_GB2312" w:cs="Times New Roman"/>
          <w:color w:val="auto"/>
          <w:sz w:val="32"/>
          <w:szCs w:val="32"/>
          <w:lang w:val="en-US" w:eastAsia="zh-CN"/>
        </w:rPr>
        <w:t>765.21</w:t>
      </w:r>
      <w:r>
        <w:rPr>
          <w:rFonts w:ascii="Times New Roman" w:hAnsi="Times New Roman" w:eastAsia="仿宋_GB2312" w:cs="Times New Roman"/>
          <w:color w:val="auto"/>
          <w:sz w:val="32"/>
          <w:szCs w:val="32"/>
        </w:rPr>
        <w:t>万元，</w:t>
      </w:r>
      <w:r>
        <w:rPr>
          <w:rFonts w:hint="eastAsia" w:ascii="Times New Roman" w:hAnsi="Times New Roman" w:eastAsia="仿宋_GB2312" w:cs="Times New Roman"/>
          <w:color w:val="auto"/>
          <w:sz w:val="32"/>
          <w:szCs w:val="32"/>
          <w:lang w:val="en-US" w:eastAsia="zh-CN"/>
        </w:rPr>
        <w:t>减少了6.49%，</w:t>
      </w:r>
      <w:r>
        <w:rPr>
          <w:rFonts w:ascii="Times New Roman" w:hAnsi="Times New Roman" w:eastAsia="仿宋_GB2312" w:cs="Times New Roman"/>
          <w:color w:val="auto"/>
          <w:sz w:val="32"/>
          <w:szCs w:val="32"/>
        </w:rPr>
        <w:t>决算数</w:t>
      </w:r>
      <w:r>
        <w:rPr>
          <w:rFonts w:hint="eastAsia" w:ascii="Times New Roman" w:hAnsi="Times New Roman" w:eastAsia="仿宋_GB2312" w:cs="Times New Roman"/>
          <w:color w:val="auto"/>
          <w:sz w:val="32"/>
          <w:szCs w:val="32"/>
          <w:lang w:val="en-US" w:eastAsia="zh-CN"/>
        </w:rPr>
        <w:t>小</w:t>
      </w:r>
      <w:r>
        <w:rPr>
          <w:rFonts w:hint="eastAsia" w:ascii="Times New Roman" w:hAnsi="Times New Roman" w:eastAsia="仿宋_GB2312" w:cs="Times New Roman"/>
          <w:color w:val="auto"/>
          <w:sz w:val="32"/>
          <w:szCs w:val="32"/>
          <w:lang w:eastAsia="zh-CN"/>
        </w:rPr>
        <w:t>于</w:t>
      </w:r>
      <w:r>
        <w:rPr>
          <w:rFonts w:ascii="Times New Roman" w:hAnsi="Times New Roman" w:eastAsia="仿宋_GB2312" w:cs="Times New Roman"/>
          <w:color w:val="auto"/>
          <w:sz w:val="32"/>
          <w:szCs w:val="32"/>
        </w:rPr>
        <w:t>年初预算数的主要原因是：</w:t>
      </w:r>
      <w:r>
        <w:rPr>
          <w:rFonts w:hint="eastAsia" w:ascii="Times New Roman" w:hAnsi="Times New Roman" w:eastAsia="仿宋_GB2312" w:cs="Times New Roman"/>
          <w:color w:val="auto"/>
          <w:sz w:val="32"/>
          <w:szCs w:val="32"/>
          <w:lang w:val="en-US" w:eastAsia="zh-CN"/>
        </w:rPr>
        <w:t>控制开支</w:t>
      </w:r>
      <w:r>
        <w:rPr>
          <w:rFonts w:hint="eastAsia" w:ascii="Times New Roman" w:hAnsi="Times New Roman" w:eastAsia="仿宋_GB2312" w:cs="Times New Roman"/>
          <w:color w:val="auto"/>
          <w:sz w:val="32"/>
          <w:szCs w:val="32"/>
          <w:lang w:eastAsia="zh-CN"/>
        </w:rPr>
        <w:t>。</w:t>
      </w:r>
    </w:p>
    <w:p w14:paraId="0707026C">
      <w:pPr>
        <w:pStyle w:val="14"/>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2、</w:t>
      </w:r>
      <w:r>
        <w:rPr>
          <w:rFonts w:ascii="Times New Roman" w:hAnsi="Times New Roman" w:eastAsia="仿宋_GB2312" w:cs="Times New Roman"/>
          <w:color w:val="auto"/>
          <w:sz w:val="32"/>
          <w:szCs w:val="32"/>
        </w:rPr>
        <w:t>一般公共服务</w:t>
      </w:r>
      <w:r>
        <w:rPr>
          <w:rFonts w:hint="eastAsia" w:ascii="Times New Roman" w:hAnsi="Times New Roman" w:eastAsia="仿宋_GB2312" w:cs="Times New Roman"/>
          <w:color w:val="auto"/>
          <w:sz w:val="32"/>
          <w:szCs w:val="32"/>
          <w:lang w:eastAsia="zh-CN"/>
        </w:rPr>
        <w:t>支出</w:t>
      </w:r>
      <w:r>
        <w:rPr>
          <w:rFonts w:ascii="Times New Roman" w:hAnsi="Times New Roman" w:eastAsia="仿宋_GB2312" w:cs="Times New Roman"/>
          <w:color w:val="auto"/>
          <w:sz w:val="32"/>
          <w:szCs w:val="32"/>
        </w:rPr>
        <w:t>（类）</w:t>
      </w:r>
      <w:r>
        <w:rPr>
          <w:rFonts w:hint="eastAsia" w:ascii="Times New Roman" w:hAnsi="Times New Roman" w:eastAsia="仿宋_GB2312" w:cs="Times New Roman"/>
          <w:color w:val="auto"/>
          <w:sz w:val="32"/>
          <w:szCs w:val="32"/>
          <w:lang w:val="en-US" w:eastAsia="zh-CN"/>
        </w:rPr>
        <w:t>数据事务</w:t>
      </w:r>
      <w:r>
        <w:rPr>
          <w:rFonts w:hint="eastAsia" w:ascii="Times New Roman" w:hAnsi="Times New Roman" w:eastAsia="仿宋_GB2312" w:cs="Times New Roman"/>
          <w:color w:val="auto"/>
          <w:sz w:val="32"/>
          <w:szCs w:val="32"/>
          <w:lang w:eastAsia="zh-CN"/>
        </w:rPr>
        <w:t>（款）</w:t>
      </w:r>
      <w:r>
        <w:rPr>
          <w:rFonts w:hint="eastAsia" w:ascii="Times New Roman" w:hAnsi="Times New Roman" w:eastAsia="仿宋_GB2312" w:cs="Times New Roman"/>
          <w:color w:val="auto"/>
          <w:sz w:val="32"/>
          <w:szCs w:val="32"/>
          <w:lang w:val="en-US" w:eastAsia="zh-CN"/>
        </w:rPr>
        <w:t>其他数据事务支出（项）</w:t>
      </w:r>
    </w:p>
    <w:p w14:paraId="747B9452">
      <w:pPr>
        <w:pStyle w:val="14"/>
        <w:overflowPunct w:val="0"/>
        <w:autoSpaceDE/>
        <w:autoSpaceDN/>
        <w:spacing w:line="600" w:lineRule="exact"/>
        <w:ind w:firstLine="640" w:firstLineChars="200"/>
        <w:jc w:val="both"/>
        <w:rPr>
          <w:rFonts w:hint="default" w:ascii="Times New Roman" w:hAnsi="Times New Roman" w:eastAsia="仿宋_GB2312" w:cs="Times New Roman"/>
          <w:color w:val="auto"/>
          <w:sz w:val="32"/>
          <w:szCs w:val="32"/>
          <w:lang w:val="en-US" w:eastAsia="zh-CN"/>
        </w:rPr>
      </w:pPr>
      <w:r>
        <w:rPr>
          <w:rFonts w:ascii="Times New Roman" w:hAnsi="Times New Roman" w:eastAsia="仿宋_GB2312" w:cs="Times New Roman"/>
          <w:color w:val="auto"/>
          <w:sz w:val="32"/>
          <w:szCs w:val="32"/>
        </w:rPr>
        <w:t>年初预算为</w:t>
      </w:r>
      <w:r>
        <w:rPr>
          <w:rFonts w:hint="eastAsia" w:ascii="Times New Roman" w:hAnsi="Times New Roman" w:eastAsia="仿宋_GB2312" w:cs="Times New Roman"/>
          <w:color w:val="auto"/>
          <w:sz w:val="32"/>
          <w:szCs w:val="32"/>
          <w:lang w:val="en-US" w:eastAsia="zh-CN"/>
        </w:rPr>
        <w:t>618.88</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1194.37</w:t>
      </w:r>
      <w:r>
        <w:rPr>
          <w:rFonts w:ascii="Times New Roman" w:hAnsi="Times New Roman" w:eastAsia="仿宋_GB2312" w:cs="Times New Roman"/>
          <w:color w:val="auto"/>
          <w:sz w:val="32"/>
          <w:szCs w:val="32"/>
        </w:rPr>
        <w:t>万元，</w:t>
      </w:r>
      <w:r>
        <w:rPr>
          <w:rFonts w:hint="eastAsia" w:ascii="Times New Roman" w:hAnsi="Times New Roman" w:eastAsia="仿宋_GB2312" w:cs="Times New Roman"/>
          <w:color w:val="auto"/>
          <w:sz w:val="32"/>
          <w:szCs w:val="32"/>
          <w:lang w:val="en-US" w:eastAsia="zh-CN"/>
        </w:rPr>
        <w:t>增加了92.99%，</w:t>
      </w:r>
      <w:r>
        <w:rPr>
          <w:rFonts w:ascii="Times New Roman" w:hAnsi="Times New Roman" w:eastAsia="仿宋_GB2312" w:cs="Times New Roman"/>
          <w:color w:val="auto"/>
          <w:sz w:val="32"/>
          <w:szCs w:val="32"/>
        </w:rPr>
        <w:t>决算数</w:t>
      </w:r>
      <w:r>
        <w:rPr>
          <w:rFonts w:hint="eastAsia" w:ascii="Times New Roman" w:hAnsi="Times New Roman" w:eastAsia="仿宋_GB2312" w:cs="Times New Roman"/>
          <w:color w:val="auto"/>
          <w:sz w:val="32"/>
          <w:szCs w:val="32"/>
          <w:lang w:eastAsia="zh-CN"/>
        </w:rPr>
        <w:t>大于</w:t>
      </w:r>
      <w:r>
        <w:rPr>
          <w:rFonts w:ascii="Times New Roman" w:hAnsi="Times New Roman" w:eastAsia="仿宋_GB2312" w:cs="Times New Roman"/>
          <w:color w:val="auto"/>
          <w:sz w:val="32"/>
          <w:szCs w:val="32"/>
        </w:rPr>
        <w:t>年初预算数的主要原因是：</w:t>
      </w:r>
      <w:r>
        <w:rPr>
          <w:rFonts w:hint="eastAsia" w:ascii="Times New Roman" w:hAnsi="Times New Roman" w:eastAsia="仿宋_GB2312" w:cs="Times New Roman"/>
          <w:color w:val="auto"/>
          <w:sz w:val="32"/>
          <w:szCs w:val="32"/>
          <w:lang w:eastAsia="zh-CN"/>
        </w:rPr>
        <w:t>临时增加。</w:t>
      </w:r>
    </w:p>
    <w:p w14:paraId="42A38519">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596DBA75">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765.21</w:t>
      </w:r>
      <w:r>
        <w:rPr>
          <w:rFonts w:ascii="Times New Roman" w:hAnsi="Times New Roman" w:eastAsia="仿宋_GB2312" w:cs="Times New Roman"/>
          <w:sz w:val="32"/>
          <w:szCs w:val="32"/>
        </w:rPr>
        <w:t>元，其中：</w:t>
      </w:r>
    </w:p>
    <w:p w14:paraId="059C6840">
      <w:pPr>
        <w:pStyle w:val="14"/>
        <w:overflowPunct w:val="0"/>
        <w:autoSpaceDE/>
        <w:autoSpaceDN/>
        <w:spacing w:line="600" w:lineRule="exact"/>
        <w:ind w:firstLine="640" w:firstLineChars="200"/>
        <w:jc w:val="both"/>
        <w:rPr>
          <w:rFonts w:hint="default" w:ascii="Times New Roman" w:hAnsi="Times New Roman" w:eastAsia="仿宋_GB2312" w:cs="Times New Roman"/>
          <w:color w:val="auto"/>
          <w:sz w:val="32"/>
          <w:szCs w:val="32"/>
          <w:u w:val="none"/>
          <w:lang w:val="en-US" w:eastAsia="zh-CN"/>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b w:val="0"/>
          <w:bCs w:val="0"/>
          <w:sz w:val="32"/>
          <w:szCs w:val="32"/>
          <w:lang w:val="en-US" w:eastAsia="zh-CN"/>
        </w:rPr>
        <w:t>650.39</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85</w:t>
      </w:r>
      <w:r>
        <w:rPr>
          <w:rFonts w:ascii="Times New Roman" w:hAnsi="Times New Roman" w:eastAsia="仿宋_GB2312" w:cs="Times New Roman"/>
          <w:sz w:val="32"/>
          <w:szCs w:val="32"/>
        </w:rPr>
        <w:t>%,</w:t>
      </w:r>
      <w:r>
        <w:rPr>
          <w:rFonts w:ascii="Times New Roman" w:hAnsi="Times New Roman" w:eastAsia="仿宋_GB2312" w:cs="Times New Roman"/>
          <w:color w:val="auto"/>
          <w:sz w:val="32"/>
          <w:szCs w:val="32"/>
          <w:u w:val="none"/>
        </w:rPr>
        <w:t>主要包括基本工资、津贴补贴、奖金、伙食补助费</w:t>
      </w:r>
      <w:r>
        <w:rPr>
          <w:rFonts w:hint="eastAsia" w:ascii="Times New Roman" w:hAnsi="Times New Roman" w:eastAsia="仿宋_GB2312" w:cs="Times New Roman"/>
          <w:color w:val="auto"/>
          <w:sz w:val="32"/>
          <w:szCs w:val="32"/>
          <w:u w:val="none"/>
          <w:lang w:eastAsia="zh-CN"/>
        </w:rPr>
        <w:t>、</w:t>
      </w:r>
      <w:r>
        <w:rPr>
          <w:rFonts w:hint="eastAsia" w:ascii="Times New Roman" w:hAnsi="Times New Roman" w:eastAsia="仿宋_GB2312" w:cs="Times New Roman"/>
          <w:color w:val="auto"/>
          <w:sz w:val="32"/>
          <w:szCs w:val="32"/>
          <w:u w:val="none"/>
          <w:lang w:val="en-US" w:eastAsia="zh-CN"/>
        </w:rPr>
        <w:t>绩效工资、</w:t>
      </w:r>
      <w:r>
        <w:rPr>
          <w:rFonts w:hint="eastAsia" w:ascii="Times New Roman" w:hAnsi="Times New Roman" w:eastAsia="仿宋_GB2312" w:cs="Times New Roman"/>
          <w:color w:val="auto"/>
          <w:sz w:val="32"/>
          <w:szCs w:val="32"/>
          <w:u w:val="none"/>
          <w:lang w:eastAsia="zh-CN"/>
        </w:rPr>
        <w:t>机关事业单位基本养老保险缴费、职工基本医疗保险缴费、其他社会保障缴费、其他工资福利支出、抚恤金、生活补助、对其他个人和家庭的补助支出</w:t>
      </w:r>
      <w:r>
        <w:rPr>
          <w:rFonts w:hint="eastAsia" w:ascii="Times New Roman" w:hAnsi="Times New Roman" w:eastAsia="仿宋_GB2312" w:cs="Times New Roman"/>
          <w:color w:val="auto"/>
          <w:sz w:val="32"/>
          <w:szCs w:val="32"/>
          <w:u w:val="none"/>
          <w:lang w:val="en-US" w:eastAsia="zh-CN"/>
        </w:rPr>
        <w:t>等</w:t>
      </w:r>
      <w:r>
        <w:rPr>
          <w:rFonts w:hint="eastAsia" w:ascii="Times New Roman" w:hAnsi="Times New Roman" w:eastAsia="仿宋_GB2312" w:cs="Times New Roman"/>
          <w:color w:val="auto"/>
          <w:sz w:val="32"/>
          <w:szCs w:val="32"/>
          <w:u w:val="none"/>
          <w:lang w:eastAsia="zh-CN"/>
        </w:rPr>
        <w:t>。</w:t>
      </w:r>
    </w:p>
    <w:p w14:paraId="75B478F8">
      <w:pPr>
        <w:pStyle w:val="14"/>
        <w:spacing w:line="600" w:lineRule="exact"/>
        <w:ind w:firstLine="640" w:firstLineChars="200"/>
        <w:rPr>
          <w:rFonts w:ascii="Times New Roman" w:hAnsi="Times New Roman" w:eastAsia="仿宋_GB2312" w:cs="Times New Roman"/>
          <w:color w:val="auto"/>
          <w:sz w:val="32"/>
          <w:szCs w:val="32"/>
          <w:u w:val="none"/>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114.8</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15</w:t>
      </w:r>
      <w:r>
        <w:rPr>
          <w:rFonts w:ascii="Times New Roman" w:hAnsi="Times New Roman" w:eastAsia="仿宋_GB2312" w:cs="Times New Roman"/>
          <w:sz w:val="32"/>
          <w:szCs w:val="32"/>
        </w:rPr>
        <w:t>%，</w:t>
      </w:r>
      <w:r>
        <w:rPr>
          <w:rFonts w:hint="eastAsia" w:ascii="Times New Roman" w:hAnsi="Times New Roman" w:eastAsia="仿宋_GB2312" w:cs="Times New Roman"/>
          <w:color w:val="auto"/>
          <w:sz w:val="32"/>
          <w:szCs w:val="32"/>
          <w:u w:val="none"/>
          <w:lang w:eastAsia="zh-CN"/>
        </w:rPr>
        <w:t>主要包括办公费、印刷费、水费、电费、邮电费、差旅费、维修（护）费、</w:t>
      </w:r>
      <w:r>
        <w:rPr>
          <w:rFonts w:hint="eastAsia" w:ascii="Times New Roman" w:hAnsi="Times New Roman" w:eastAsia="仿宋_GB2312" w:cs="Times New Roman"/>
          <w:color w:val="auto"/>
          <w:sz w:val="32"/>
          <w:szCs w:val="32"/>
          <w:u w:val="none"/>
          <w:lang w:val="en-US" w:eastAsia="zh-CN"/>
        </w:rPr>
        <w:t>租赁费、</w:t>
      </w:r>
      <w:r>
        <w:rPr>
          <w:rFonts w:hint="eastAsia" w:ascii="Times New Roman" w:hAnsi="Times New Roman" w:eastAsia="仿宋_GB2312" w:cs="Times New Roman"/>
          <w:color w:val="auto"/>
          <w:sz w:val="32"/>
          <w:szCs w:val="32"/>
          <w:u w:val="none"/>
          <w:lang w:eastAsia="zh-CN"/>
        </w:rPr>
        <w:t>会议费、培训费、公务接待费、劳务费、委托业务费、工会经费、福利费、公务用车运行维护费、其他交通费用、其他商品和服务支出等。</w:t>
      </w:r>
    </w:p>
    <w:p w14:paraId="7DD773BB">
      <w:pPr>
        <w:pStyle w:val="14"/>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14:paraId="1D897044">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03A32DEF">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eastAsia="zh-CN"/>
        </w:rPr>
        <w:t>2025</w:t>
      </w:r>
      <w:r>
        <w:rPr>
          <w:rFonts w:ascii="Times New Roman" w:hAnsi="Times New Roman" w:eastAsia="仿宋_GB2312" w:cs="Times New Roman"/>
          <w:color w:val="auto"/>
          <w:sz w:val="32"/>
          <w:szCs w:val="32"/>
        </w:rPr>
        <w:t>年度“三公”经费财政拨款支出预算为</w:t>
      </w:r>
      <w:r>
        <w:rPr>
          <w:rFonts w:hint="eastAsia" w:ascii="Times New Roman" w:hAnsi="Times New Roman" w:eastAsia="仿宋_GB2312" w:cs="Times New Roman"/>
          <w:color w:val="auto"/>
          <w:sz w:val="32"/>
          <w:szCs w:val="32"/>
          <w:lang w:val="en-US" w:eastAsia="zh-CN"/>
        </w:rPr>
        <w:t>10</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万元，完成预算的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%；与上年相比</w:t>
      </w:r>
      <w:r>
        <w:rPr>
          <w:rFonts w:hint="eastAsia" w:ascii="Times New Roman" w:hAnsi="Times New Roman" w:eastAsia="仿宋_GB2312" w:cs="Times New Roman"/>
          <w:color w:val="auto"/>
          <w:sz w:val="32"/>
          <w:szCs w:val="32"/>
          <w:lang w:val="en-US" w:eastAsia="zh-CN"/>
        </w:rPr>
        <w:t>减少1.5</w:t>
      </w:r>
      <w:r>
        <w:rPr>
          <w:rFonts w:ascii="Times New Roman" w:hAnsi="Times New Roman" w:eastAsia="仿宋_GB2312" w:cs="Times New Roman"/>
          <w:color w:val="auto"/>
          <w:sz w:val="32"/>
          <w:szCs w:val="32"/>
        </w:rPr>
        <w:t>万元，</w:t>
      </w:r>
      <w:r>
        <w:rPr>
          <w:rFonts w:hint="eastAsia" w:ascii="Times New Roman" w:hAnsi="Times New Roman" w:eastAsia="仿宋_GB2312" w:cs="Times New Roman"/>
          <w:color w:val="auto"/>
          <w:sz w:val="32"/>
          <w:szCs w:val="32"/>
          <w:lang w:val="en-US" w:eastAsia="zh-CN"/>
        </w:rPr>
        <w:t>减少100</w:t>
      </w:r>
      <w:r>
        <w:rPr>
          <w:rFonts w:ascii="Times New Roman" w:hAnsi="Times New Roman" w:eastAsia="仿宋_GB2312" w:cs="Times New Roman"/>
          <w:color w:val="auto"/>
          <w:sz w:val="32"/>
          <w:szCs w:val="32"/>
        </w:rPr>
        <w:t>%。决算数小于预算数的主要原因是</w:t>
      </w:r>
      <w:r>
        <w:rPr>
          <w:rFonts w:hint="eastAsia" w:ascii="方正仿宋_GB2312" w:hAnsi="方正仿宋_GB2312" w:eastAsia="方正仿宋_GB2312" w:cs="方正仿宋_GB2312"/>
          <w:b w:val="0"/>
          <w:bCs w:val="0"/>
          <w:i w:val="0"/>
          <w:iCs w:val="0"/>
          <w:caps w:val="0"/>
          <w:color w:val="auto"/>
          <w:spacing w:val="0"/>
          <w:sz w:val="30"/>
          <w:szCs w:val="30"/>
          <w:highlight w:val="none"/>
          <w:u w:val="none"/>
          <w:shd w:val="clear" w:color="auto" w:fill="FFFFFF"/>
        </w:rPr>
        <w:t>贯</w:t>
      </w:r>
      <w:r>
        <w:rPr>
          <w:rFonts w:hint="eastAsia" w:ascii="Times New Roman" w:hAnsi="Times New Roman" w:eastAsia="仿宋_GB2312" w:cs="Times New Roman"/>
          <w:color w:val="auto"/>
          <w:sz w:val="32"/>
          <w:szCs w:val="32"/>
          <w:highlight w:val="none"/>
          <w:u w:val="none"/>
        </w:rPr>
        <w:t>彻落实过“紧日子”思想，严控“三公”经费支出</w:t>
      </w:r>
      <w:r>
        <w:rPr>
          <w:rFonts w:ascii="Times New Roman" w:hAnsi="Times New Roman" w:eastAsia="仿宋_GB2312" w:cs="Times New Roman"/>
          <w:color w:val="auto"/>
          <w:sz w:val="32"/>
          <w:szCs w:val="32"/>
        </w:rPr>
        <w:t>。</w:t>
      </w:r>
    </w:p>
    <w:p w14:paraId="52A25827">
      <w:pPr>
        <w:pStyle w:val="14"/>
        <w:overflowPunct w:val="0"/>
        <w:autoSpaceDE/>
        <w:autoSpaceDN/>
        <w:spacing w:line="600" w:lineRule="exact"/>
        <w:ind w:firstLine="640" w:firstLineChars="200"/>
        <w:jc w:val="both"/>
        <w:rPr>
          <w:rFonts w:ascii="Times New Roman" w:hAnsi="Times New Roman" w:eastAsia="楷体_GB2312" w:cs="Times New Roman"/>
          <w:b/>
          <w:color w:val="auto"/>
          <w:sz w:val="32"/>
          <w:szCs w:val="32"/>
        </w:rPr>
      </w:pPr>
      <w:r>
        <w:rPr>
          <w:rFonts w:ascii="Times New Roman" w:hAnsi="Times New Roman" w:eastAsia="楷体_GB2312" w:cs="Times New Roman"/>
          <w:b/>
          <w:color w:val="auto"/>
          <w:sz w:val="32"/>
          <w:szCs w:val="32"/>
        </w:rPr>
        <w:t>（二）“三公”经费财政拨款支出决算具体情况说明</w:t>
      </w:r>
    </w:p>
    <w:p w14:paraId="06BCA4DD">
      <w:pPr>
        <w:pStyle w:val="14"/>
        <w:spacing w:line="600" w:lineRule="exact"/>
        <w:ind w:firstLine="640" w:firstLineChars="200"/>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color w:val="auto"/>
          <w:sz w:val="32"/>
          <w:szCs w:val="32"/>
        </w:rPr>
        <w:t>1</w:t>
      </w:r>
      <w:r>
        <w:rPr>
          <w:rFonts w:hint="eastAsia" w:ascii="Times New Roman" w:hAnsi="Times New Roman" w:eastAsia="仿宋_GB2312" w:cs="Times New Roman"/>
          <w:color w:val="auto"/>
          <w:sz w:val="32"/>
          <w:szCs w:val="32"/>
          <w:lang w:eastAsia="zh-CN"/>
        </w:rPr>
        <w:t>、</w:t>
      </w:r>
      <w:r>
        <w:rPr>
          <w:rFonts w:ascii="Times New Roman" w:hAnsi="Times New Roman" w:eastAsia="仿宋_GB2312" w:cs="Times New Roman"/>
          <w:color w:val="auto"/>
          <w:sz w:val="32"/>
          <w:szCs w:val="32"/>
        </w:rPr>
        <w:t>因公出国（境）费支出预算为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万元，完成预算的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eastAsia="zh-CN"/>
        </w:rPr>
        <w:t>本单位</w:t>
      </w:r>
      <w:r>
        <w:rPr>
          <w:rFonts w:hint="eastAsia" w:ascii="Times New Roman" w:hAnsi="Times New Roman" w:eastAsia="仿宋_GB2312" w:cs="Times New Roman"/>
          <w:color w:val="auto"/>
          <w:sz w:val="32"/>
          <w:szCs w:val="32"/>
          <w:u w:val="none"/>
          <w:lang w:val="en-US" w:eastAsia="zh-CN"/>
        </w:rPr>
        <w:t>无</w:t>
      </w:r>
      <w:r>
        <w:rPr>
          <w:rFonts w:ascii="Times New Roman" w:hAnsi="Times New Roman" w:eastAsia="仿宋_GB2312" w:cs="Times New Roman"/>
          <w:color w:val="auto"/>
          <w:sz w:val="32"/>
          <w:szCs w:val="32"/>
          <w:u w:val="none"/>
        </w:rPr>
        <w:t>因公出国（境）费支出</w:t>
      </w:r>
      <w:r>
        <w:rPr>
          <w:rFonts w:hint="eastAsia" w:ascii="Times New Roman" w:hAnsi="Times New Roman" w:eastAsia="仿宋_GB2312" w:cs="Times New Roman"/>
          <w:color w:val="auto"/>
          <w:sz w:val="32"/>
          <w:szCs w:val="32"/>
          <w:u w:val="none"/>
          <w:lang w:eastAsia="zh-CN"/>
        </w:rPr>
        <w:t>。</w:t>
      </w:r>
    </w:p>
    <w:p w14:paraId="5C722882">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2</w:t>
      </w:r>
      <w:r>
        <w:rPr>
          <w:rFonts w:hint="eastAsia" w:ascii="Times New Roman" w:hAnsi="Times New Roman" w:eastAsia="仿宋_GB2312" w:cs="Times New Roman"/>
          <w:color w:val="auto"/>
          <w:sz w:val="32"/>
          <w:szCs w:val="32"/>
          <w:lang w:eastAsia="zh-CN"/>
        </w:rPr>
        <w:t>、</w:t>
      </w:r>
      <w:r>
        <w:rPr>
          <w:rFonts w:ascii="Times New Roman" w:hAnsi="Times New Roman" w:eastAsia="仿宋_GB2312" w:cs="Times New Roman"/>
          <w:color w:val="auto"/>
          <w:sz w:val="32"/>
          <w:szCs w:val="32"/>
        </w:rPr>
        <w:t>公务用车购置费及运行维护费支出预算为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万元，完成预算的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%；与上年相比</w:t>
      </w:r>
      <w:r>
        <w:rPr>
          <w:rFonts w:hint="eastAsia" w:ascii="Times New Roman" w:hAnsi="Times New Roman" w:eastAsia="仿宋_GB2312" w:cs="Times New Roman"/>
          <w:color w:val="auto"/>
          <w:sz w:val="32"/>
          <w:szCs w:val="32"/>
          <w:lang w:val="en-US" w:eastAsia="zh-CN"/>
        </w:rPr>
        <w:t>减少0</w:t>
      </w:r>
      <w:r>
        <w:rPr>
          <w:rFonts w:ascii="Times New Roman" w:hAnsi="Times New Roman" w:eastAsia="仿宋_GB2312" w:cs="Times New Roman"/>
          <w:color w:val="auto"/>
          <w:sz w:val="32"/>
          <w:szCs w:val="32"/>
        </w:rPr>
        <w:t>万元。其中：</w:t>
      </w:r>
    </w:p>
    <w:p w14:paraId="6C88E0DF">
      <w:pPr>
        <w:pStyle w:val="14"/>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eastAsia="zh-CN"/>
        </w:rPr>
      </w:pPr>
      <w:r>
        <w:rPr>
          <w:rFonts w:ascii="Times New Roman" w:hAnsi="Times New Roman" w:eastAsia="仿宋_GB2312" w:cs="Times New Roman"/>
          <w:color w:val="auto"/>
          <w:sz w:val="32"/>
          <w:szCs w:val="32"/>
        </w:rPr>
        <w:t>公务用车购置费支出预算为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万元，完成预算的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%；与上年相比</w:t>
      </w:r>
      <w:r>
        <w:rPr>
          <w:rFonts w:hint="eastAsia" w:ascii="Times New Roman" w:hAnsi="Times New Roman" w:eastAsia="仿宋_GB2312" w:cs="Times New Roman"/>
          <w:color w:val="auto"/>
          <w:sz w:val="32"/>
          <w:szCs w:val="32"/>
          <w:lang w:eastAsia="zh-CN"/>
        </w:rPr>
        <w:t>，本单位无用车购置费用。</w:t>
      </w:r>
    </w:p>
    <w:p w14:paraId="0A8B9F7E">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截止</w:t>
      </w:r>
      <w:r>
        <w:rPr>
          <w:rFonts w:hint="eastAsia" w:ascii="Times New Roman" w:hAnsi="Times New Roman" w:eastAsia="仿宋_GB2312" w:cs="Times New Roman"/>
          <w:color w:val="auto"/>
          <w:sz w:val="32"/>
          <w:szCs w:val="32"/>
          <w:lang w:eastAsia="zh-CN"/>
        </w:rPr>
        <w:t>2025</w:t>
      </w:r>
      <w:r>
        <w:rPr>
          <w:rFonts w:ascii="Times New Roman" w:hAnsi="Times New Roman" w:eastAsia="仿宋_GB2312" w:cs="Times New Roman"/>
          <w:color w:val="auto"/>
          <w:sz w:val="32"/>
          <w:szCs w:val="32"/>
        </w:rPr>
        <w:t>年12月31日，我单位开支财政拨款的公务用车保有量为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w:t>
      </w:r>
      <w:r>
        <w:rPr>
          <w:rFonts w:hint="eastAsia" w:ascii="Times New Roman" w:hAnsi="Times New Roman" w:eastAsia="仿宋_GB2312" w:cs="Times New Roman"/>
          <w:color w:val="auto"/>
          <w:sz w:val="32"/>
          <w:szCs w:val="32"/>
          <w:lang w:eastAsia="zh-CN"/>
        </w:rPr>
        <w:t>，实为临时机构车辆</w:t>
      </w:r>
      <w:r>
        <w:rPr>
          <w:rFonts w:ascii="Times New Roman" w:hAnsi="Times New Roman" w:eastAsia="仿宋_GB2312" w:cs="Times New Roman"/>
          <w:color w:val="auto"/>
          <w:sz w:val="32"/>
          <w:szCs w:val="32"/>
        </w:rPr>
        <w:t>。</w:t>
      </w:r>
    </w:p>
    <w:p w14:paraId="1BB78395">
      <w:pPr>
        <w:pStyle w:val="14"/>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u w:val="none"/>
          <w:lang w:eastAsia="zh-CN"/>
        </w:rPr>
      </w:pPr>
      <w:r>
        <w:rPr>
          <w:rFonts w:ascii="Times New Roman" w:hAnsi="Times New Roman" w:eastAsia="仿宋_GB2312" w:cs="Times New Roman"/>
          <w:color w:val="auto"/>
          <w:sz w:val="32"/>
          <w:szCs w:val="32"/>
        </w:rPr>
        <w:t>3</w:t>
      </w:r>
      <w:r>
        <w:rPr>
          <w:rFonts w:hint="eastAsia" w:ascii="Times New Roman" w:hAnsi="Times New Roman" w:eastAsia="仿宋_GB2312" w:cs="Times New Roman"/>
          <w:color w:val="auto"/>
          <w:sz w:val="32"/>
          <w:szCs w:val="32"/>
          <w:lang w:eastAsia="zh-CN"/>
        </w:rPr>
        <w:t>、</w:t>
      </w:r>
      <w:r>
        <w:rPr>
          <w:rFonts w:ascii="Times New Roman" w:hAnsi="Times New Roman" w:eastAsia="仿宋_GB2312" w:cs="Times New Roman"/>
          <w:color w:val="auto"/>
          <w:sz w:val="32"/>
          <w:szCs w:val="32"/>
        </w:rPr>
        <w:t>公务接待费支出预算为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元，完成预算的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%；与上年相比</w:t>
      </w:r>
      <w:r>
        <w:rPr>
          <w:rFonts w:hint="eastAsia" w:ascii="Times New Roman" w:hAnsi="Times New Roman" w:eastAsia="仿宋_GB2312" w:cs="Times New Roman"/>
          <w:color w:val="auto"/>
          <w:sz w:val="32"/>
          <w:szCs w:val="32"/>
          <w:lang w:val="en-US" w:eastAsia="zh-CN"/>
        </w:rPr>
        <w:t>减少0</w:t>
      </w:r>
      <w:r>
        <w:rPr>
          <w:rFonts w:ascii="Times New Roman" w:hAnsi="Times New Roman" w:eastAsia="仿宋_GB2312" w:cs="Times New Roman"/>
          <w:color w:val="auto"/>
          <w:sz w:val="32"/>
          <w:szCs w:val="32"/>
        </w:rPr>
        <w:t>万元，</w:t>
      </w:r>
      <w:r>
        <w:rPr>
          <w:rFonts w:hint="eastAsia" w:ascii="Times New Roman" w:hAnsi="Times New Roman" w:eastAsia="仿宋_GB2312" w:cs="Times New Roman"/>
          <w:color w:val="auto"/>
          <w:sz w:val="32"/>
          <w:szCs w:val="32"/>
          <w:lang w:val="en-US" w:eastAsia="zh-CN"/>
        </w:rPr>
        <w:t>减少0</w:t>
      </w:r>
      <w:r>
        <w:rPr>
          <w:rFonts w:ascii="Times New Roman" w:hAnsi="Times New Roman" w:eastAsia="仿宋_GB2312" w:cs="Times New Roman"/>
          <w:color w:val="auto"/>
          <w:sz w:val="32"/>
          <w:szCs w:val="32"/>
        </w:rPr>
        <w:t>%。</w:t>
      </w:r>
    </w:p>
    <w:p w14:paraId="7628934A">
      <w:pPr>
        <w:pStyle w:val="14"/>
        <w:numPr>
          <w:ilvl w:val="0"/>
          <w:numId w:val="0"/>
        </w:numPr>
        <w:ind w:left="160" w:leftChars="0" w:firstLine="640" w:firstLineChars="2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lang w:eastAsia="zh-CN"/>
        </w:rPr>
        <w:t>（</w:t>
      </w:r>
      <w:r>
        <w:rPr>
          <w:rFonts w:hint="eastAsia" w:ascii="方正仿宋_GB2312" w:hAnsi="方正仿宋_GB2312" w:eastAsia="方正仿宋_GB2312" w:cs="方正仿宋_GB2312"/>
          <w:b/>
          <w:bCs/>
          <w:sz w:val="32"/>
          <w:szCs w:val="32"/>
          <w:lang w:val="en-US" w:eastAsia="zh-CN"/>
        </w:rPr>
        <w:t>三</w:t>
      </w:r>
      <w:r>
        <w:rPr>
          <w:rFonts w:hint="eastAsia" w:ascii="方正仿宋_GB2312" w:hAnsi="方正仿宋_GB2312" w:eastAsia="方正仿宋_GB2312" w:cs="方正仿宋_GB2312"/>
          <w:b/>
          <w:bCs/>
          <w:sz w:val="32"/>
          <w:szCs w:val="32"/>
          <w:lang w:eastAsia="zh-CN"/>
        </w:rPr>
        <w:t>）</w:t>
      </w:r>
      <w:r>
        <w:rPr>
          <w:rFonts w:hint="eastAsia" w:ascii="方正仿宋_GB2312" w:hAnsi="方正仿宋_GB2312" w:eastAsia="方正仿宋_GB2312" w:cs="方正仿宋_GB2312"/>
          <w:b/>
          <w:bCs/>
          <w:sz w:val="32"/>
          <w:szCs w:val="32"/>
        </w:rPr>
        <w:t>“三公”经费支出情况：</w:t>
      </w:r>
      <w:r>
        <w:rPr>
          <w:rFonts w:hint="eastAsia" w:ascii="方正仿宋_GB2312" w:hAnsi="方正仿宋_GB2312" w:eastAsia="方正仿宋_GB2312" w:cs="方正仿宋_GB2312"/>
          <w:b/>
          <w:bCs/>
          <w:sz w:val="32"/>
          <w:szCs w:val="32"/>
          <w:lang w:eastAsia="zh-CN"/>
        </w:rPr>
        <w:t>无</w:t>
      </w:r>
      <w:r>
        <w:rPr>
          <w:rFonts w:hint="eastAsia" w:ascii="方正仿宋_GB2312" w:hAnsi="方正仿宋_GB2312" w:eastAsia="方正仿宋_GB2312" w:cs="方正仿宋_GB2312"/>
          <w:b/>
          <w:bCs/>
          <w:sz w:val="32"/>
          <w:szCs w:val="32"/>
        </w:rPr>
        <w:t>支出情况</w:t>
      </w:r>
      <w:r>
        <w:rPr>
          <w:rFonts w:hint="eastAsia" w:ascii="方正仿宋_GB2312" w:hAnsi="方正仿宋_GB2312" w:eastAsia="方正仿宋_GB2312" w:cs="方正仿宋_GB2312"/>
          <w:sz w:val="32"/>
          <w:szCs w:val="32"/>
        </w:rPr>
        <w:t xml:space="preserve"> </w:t>
      </w:r>
    </w:p>
    <w:p w14:paraId="6758A2AF">
      <w:pPr>
        <w:pStyle w:val="14"/>
        <w:numPr>
          <w:ilvl w:val="0"/>
          <w:numId w:val="0"/>
        </w:numPr>
        <w:ind w:left="160" w:leftChars="0" w:firstLine="640" w:firstLineChars="2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预决算对比情况</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预算为10万元，决算0元</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与2024年度相比，减少1.5万元，公务用车购置及运行维护费财政拨款支出决算数 0.00万元，公务用车运行维护费0.00万元，对应的年末公车保有量</w:t>
      </w:r>
      <w:r>
        <w:rPr>
          <w:rFonts w:hint="eastAsia" w:ascii="方正仿宋_GB2312" w:hAnsi="方正仿宋_GB2312" w:eastAsia="方正仿宋_GB2312" w:cs="方正仿宋_GB2312"/>
          <w:sz w:val="32"/>
          <w:szCs w:val="32"/>
          <w:lang w:val="en-US" w:eastAsia="zh-CN"/>
        </w:rPr>
        <w:t>0</w:t>
      </w:r>
      <w:r>
        <w:rPr>
          <w:rFonts w:hint="eastAsia" w:ascii="方正仿宋_GB2312" w:hAnsi="方正仿宋_GB2312" w:eastAsia="方正仿宋_GB2312" w:cs="方正仿宋_GB2312"/>
          <w:sz w:val="32"/>
          <w:szCs w:val="32"/>
        </w:rPr>
        <w:t>辆，车均运行维护费支出</w:t>
      </w:r>
      <w:r>
        <w:rPr>
          <w:rFonts w:hint="eastAsia" w:ascii="方正仿宋_GB2312" w:hAnsi="方正仿宋_GB2312" w:eastAsia="方正仿宋_GB2312" w:cs="方正仿宋_GB2312"/>
          <w:sz w:val="32"/>
          <w:szCs w:val="32"/>
          <w:lang w:val="en-US" w:eastAsia="zh-CN"/>
        </w:rPr>
        <w:t>0</w:t>
      </w:r>
      <w:r>
        <w:rPr>
          <w:rFonts w:hint="eastAsia" w:ascii="方正仿宋_GB2312" w:hAnsi="方正仿宋_GB2312" w:eastAsia="方正仿宋_GB2312" w:cs="方正仿宋_GB2312"/>
          <w:sz w:val="32"/>
          <w:szCs w:val="32"/>
        </w:rPr>
        <w:t>万元。主要原因是严格贯彻落实厉行节约反对浪费精神，加强公务接待管理，严格控制相关费用，支出相应减少。</w:t>
      </w:r>
    </w:p>
    <w:p w14:paraId="697C18D3">
      <w:pPr>
        <w:pStyle w:val="14"/>
        <w:numPr>
          <w:ilvl w:val="0"/>
          <w:numId w:val="0"/>
        </w:numPr>
        <w:ind w:left="160" w:leftChars="0"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07722E8D">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本单位五政府基金预算收入于支出</w:t>
      </w:r>
    </w:p>
    <w:p w14:paraId="18E80653">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4218090A">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本部门</w:t>
      </w: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114.80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比</w:t>
      </w:r>
      <w:r>
        <w:rPr>
          <w:rFonts w:ascii="Times New Roman" w:hAnsi="Times New Roman" w:eastAsia="仿宋_GB2312" w:cs="Times New Roman"/>
          <w:sz w:val="32"/>
          <w:szCs w:val="32"/>
        </w:rPr>
        <w:t>上年决算数减少</w:t>
      </w:r>
      <w:r>
        <w:rPr>
          <w:rFonts w:hint="eastAsia" w:ascii="Times New Roman" w:hAnsi="Times New Roman" w:eastAsia="仿宋_GB2312" w:cs="Times New Roman"/>
          <w:sz w:val="32"/>
          <w:szCs w:val="32"/>
          <w:lang w:val="en-US" w:eastAsia="zh-CN"/>
        </w:rPr>
        <w:t>13.37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13.18</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eastAsia="zh-CN"/>
        </w:rPr>
        <w:t>合理压缩开支。</w:t>
      </w:r>
    </w:p>
    <w:p w14:paraId="5156F16E">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2213DB75">
      <w:pPr>
        <w:pStyle w:val="14"/>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年本部门开支培训费</w:t>
      </w:r>
      <w:r>
        <w:rPr>
          <w:rFonts w:hint="eastAsia" w:ascii="Times New Roman" w:hAnsi="Times New Roman" w:eastAsia="仿宋_GB2312" w:cs="Times New Roman"/>
          <w:sz w:val="32"/>
          <w:szCs w:val="32"/>
          <w:lang w:val="en-US" w:eastAsia="zh-CN"/>
        </w:rPr>
        <w:t>1.25</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lang w:eastAsia="zh-CN"/>
        </w:rPr>
        <w:t>事业单位网络</w:t>
      </w:r>
      <w:r>
        <w:rPr>
          <w:rFonts w:ascii="Times New Roman" w:hAnsi="Times New Roman" w:eastAsia="仿宋_GB2312" w:cs="Times New Roman"/>
          <w:sz w:val="32"/>
          <w:szCs w:val="32"/>
        </w:rPr>
        <w:t>培训，人数</w:t>
      </w:r>
      <w:r>
        <w:rPr>
          <w:rFonts w:hint="eastAsia" w:ascii="Times New Roman" w:hAnsi="Times New Roman" w:eastAsia="仿宋_GB2312" w:cs="Times New Roman"/>
          <w:sz w:val="32"/>
          <w:szCs w:val="32"/>
          <w:lang w:val="en-US" w:eastAsia="zh-CN"/>
        </w:rPr>
        <w:t>160</w:t>
      </w:r>
      <w:r>
        <w:rPr>
          <w:rFonts w:ascii="Times New Roman" w:hAnsi="Times New Roman" w:eastAsia="仿宋_GB2312" w:cs="Times New Roman"/>
          <w:sz w:val="32"/>
          <w:szCs w:val="32"/>
        </w:rPr>
        <w:t>人</w:t>
      </w:r>
      <w:r>
        <w:rPr>
          <w:rFonts w:hint="eastAsia" w:ascii="Times New Roman" w:hAnsi="Times New Roman" w:eastAsia="仿宋_GB2312" w:cs="Times New Roman"/>
          <w:sz w:val="32"/>
          <w:szCs w:val="32"/>
          <w:lang w:eastAsia="zh-CN"/>
        </w:rPr>
        <w:t>；开展安全生产培训会，人数约</w:t>
      </w:r>
      <w:r>
        <w:rPr>
          <w:rFonts w:hint="eastAsia" w:ascii="Times New Roman" w:hAnsi="Times New Roman" w:eastAsia="仿宋_GB2312" w:cs="Times New Roman"/>
          <w:sz w:val="32"/>
          <w:szCs w:val="32"/>
          <w:lang w:val="en-US" w:eastAsia="zh-CN"/>
        </w:rPr>
        <w:t>185人</w:t>
      </w:r>
      <w:r>
        <w:rPr>
          <w:rFonts w:ascii="Times New Roman" w:hAnsi="Times New Roman" w:eastAsia="仿宋_GB2312" w:cs="Times New Roman"/>
          <w:sz w:val="32"/>
          <w:szCs w:val="32"/>
        </w:rPr>
        <w:t>；举办</w:t>
      </w:r>
      <w:r>
        <w:rPr>
          <w:rFonts w:hint="eastAsia" w:ascii="Times New Roman" w:hAnsi="Times New Roman" w:eastAsia="仿宋_GB2312" w:cs="Times New Roman"/>
          <w:sz w:val="32"/>
          <w:szCs w:val="32"/>
          <w:lang w:eastAsia="zh-CN"/>
        </w:rPr>
        <w:t>其他活动等节庆、晚会、论坛等活动开支</w:t>
      </w:r>
      <w:r>
        <w:rPr>
          <w:rFonts w:hint="eastAsia" w:ascii="Times New Roman" w:hAnsi="Times New Roman" w:eastAsia="仿宋_GB2312" w:cs="Times New Roman"/>
          <w:sz w:val="32"/>
          <w:szCs w:val="32"/>
          <w:lang w:val="en-US" w:eastAsia="zh-CN"/>
        </w:rPr>
        <w:t>0万元；本单位2025年无举办节庆等相关活动。</w:t>
      </w:r>
    </w:p>
    <w:p w14:paraId="553A055E">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3824C6E1">
      <w:pPr>
        <w:pStyle w:val="14"/>
        <w:overflowPunct w:val="0"/>
        <w:autoSpaceDE/>
        <w:autoSpaceDN/>
        <w:spacing w:line="600" w:lineRule="exact"/>
        <w:ind w:firstLine="640" w:firstLineChars="200"/>
        <w:jc w:val="both"/>
        <w:rPr>
          <w:rFonts w:ascii="Times New Roman" w:hAnsi="Times New Roman" w:eastAsia="仿宋_GB2312" w:cs="Times New Roman"/>
          <w:color w:val="FF0000"/>
          <w:sz w:val="32"/>
          <w:szCs w:val="32"/>
        </w:rPr>
      </w:pPr>
      <w:r>
        <w:rPr>
          <w:rFonts w:ascii="Times New Roman" w:hAnsi="Times New Roman" w:eastAsia="仿宋_GB2312" w:cs="Times New Roman"/>
          <w:color w:val="auto"/>
          <w:sz w:val="32"/>
          <w:szCs w:val="32"/>
        </w:rPr>
        <w:t>本部门</w:t>
      </w:r>
      <w:r>
        <w:rPr>
          <w:rFonts w:hint="eastAsia" w:ascii="Times New Roman" w:hAnsi="Times New Roman" w:eastAsia="仿宋_GB2312" w:cs="Times New Roman"/>
          <w:color w:val="auto"/>
          <w:sz w:val="32"/>
          <w:szCs w:val="32"/>
          <w:lang w:eastAsia="zh-CN"/>
        </w:rPr>
        <w:t>2025</w:t>
      </w:r>
      <w:r>
        <w:rPr>
          <w:rFonts w:ascii="Times New Roman" w:hAnsi="Times New Roman" w:eastAsia="仿宋_GB2312" w:cs="Times New Roman"/>
          <w:color w:val="auto"/>
          <w:sz w:val="32"/>
          <w:szCs w:val="32"/>
        </w:rPr>
        <w:t>年度政府采购支出总额</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万元，其中：政府采购货物支出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 xml:space="preserve"> 万元、政府采购工程支出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万元、政府采购服务支出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万元。授予中小企业合同金额</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万元，占政府采购支出总额的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%，其中：授予小微企业合同金额</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万元，占授予中小企业合同金额的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p>
    <w:p w14:paraId="4D1F9D74">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2EB043B9">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w:t>
      </w:r>
      <w:r>
        <w:rPr>
          <w:rFonts w:hint="eastAsia" w:ascii="Times New Roman" w:hAnsi="Times New Roman" w:eastAsia="仿宋_GB2312" w:cs="Times New Roman"/>
          <w:color w:val="auto"/>
          <w:sz w:val="32"/>
          <w:szCs w:val="32"/>
          <w:lang w:eastAsia="zh-CN"/>
        </w:rPr>
        <w:t>2025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辆，其他用车主要是</w:t>
      </w:r>
      <w:r>
        <w:rPr>
          <w:rFonts w:hint="eastAsia" w:ascii="Times New Roman" w:hAnsi="Times New Roman" w:eastAsia="仿宋_GB2312" w:cs="Times New Roman"/>
          <w:color w:val="auto"/>
          <w:sz w:val="32"/>
          <w:szCs w:val="32"/>
          <w:lang w:eastAsia="zh-CN"/>
        </w:rPr>
        <w:t>单位下乡、日</w:t>
      </w:r>
      <w:r>
        <w:rPr>
          <w:rFonts w:hint="eastAsia" w:ascii="Times New Roman" w:hAnsi="Times New Roman" w:eastAsia="仿宋_GB2312" w:cs="Times New Roman"/>
          <w:color w:val="auto"/>
          <w:sz w:val="32"/>
          <w:szCs w:val="32"/>
          <w:lang w:val="en-US" w:eastAsia="zh-CN"/>
        </w:rPr>
        <w:t>常办公</w:t>
      </w:r>
      <w:r>
        <w:rPr>
          <w:rFonts w:ascii="Times New Roman" w:hAnsi="Times New Roman" w:eastAsia="仿宋_GB2312" w:cs="Times New Roman"/>
          <w:color w:val="auto"/>
          <w:sz w:val="32"/>
          <w:szCs w:val="32"/>
        </w:rPr>
        <w:t>；单位价值100万元以上设备（不含车辆）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41E533C1">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hint="eastAsia" w:ascii="Times New Roman" w:hAnsi="Times New Roman" w:eastAsia="仿宋_GB2312" w:cs="Times New Roman"/>
          <w:color w:val="auto"/>
          <w:sz w:val="32"/>
          <w:szCs w:val="32"/>
          <w:lang w:eastAsia="zh-CN"/>
        </w:rPr>
        <w:t>2025</w:t>
      </w:r>
      <w:r>
        <w:rPr>
          <w:rFonts w:ascii="Times New Roman" w:hAnsi="Times New Roman" w:cs="Times New Roman"/>
          <w:bCs/>
          <w:color w:val="auto"/>
          <w:sz w:val="32"/>
          <w:szCs w:val="32"/>
        </w:rPr>
        <w:t>年度预算绩效情况的说明</w:t>
      </w:r>
    </w:p>
    <w:p w14:paraId="07F172B4">
      <w:pPr>
        <w:overflowPunct w:val="0"/>
        <w:spacing w:line="600" w:lineRule="exact"/>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（一）绩效评价工作开展情况。</w:t>
      </w:r>
    </w:p>
    <w:p w14:paraId="7F7085D8">
      <w:pPr>
        <w:pStyle w:val="14"/>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val="en-US" w:eastAsia="zh-CN"/>
        </w:rPr>
      </w:pPr>
      <w:r>
        <w:rPr>
          <w:rFonts w:ascii="Times New Roman" w:hAnsi="Times New Roman" w:eastAsia="仿宋_GB2312" w:cs="Times New Roman"/>
          <w:color w:val="auto"/>
          <w:sz w:val="32"/>
          <w:szCs w:val="32"/>
        </w:rPr>
        <w:t>组织对</w:t>
      </w:r>
      <w:r>
        <w:rPr>
          <w:rFonts w:hint="eastAsia" w:ascii="Times New Roman" w:hAnsi="Times New Roman" w:eastAsia="仿宋_GB2312" w:cs="Times New Roman"/>
          <w:color w:val="auto"/>
          <w:sz w:val="32"/>
          <w:szCs w:val="32"/>
          <w:lang w:eastAsia="zh-CN"/>
        </w:rPr>
        <w:t>2025</w:t>
      </w:r>
      <w:r>
        <w:rPr>
          <w:rFonts w:ascii="Times New Roman" w:hAnsi="Times New Roman" w:eastAsia="仿宋_GB2312" w:cs="Times New Roman"/>
          <w:color w:val="auto"/>
          <w:sz w:val="32"/>
          <w:szCs w:val="32"/>
        </w:rPr>
        <w:t>年度本部门（单位）整体支出开展绩效自评</w:t>
      </w:r>
      <w:r>
        <w:rPr>
          <w:rFonts w:hint="eastAsia" w:ascii="Times New Roman" w:hAnsi="Times New Roman" w:eastAsia="仿宋_GB2312" w:cs="Times New Roman"/>
          <w:color w:val="auto"/>
          <w:sz w:val="32"/>
          <w:szCs w:val="32"/>
          <w:lang w:eastAsia="zh-CN"/>
        </w:rPr>
        <w:t>工作，</w:t>
      </w:r>
      <w:r>
        <w:rPr>
          <w:rFonts w:hint="eastAsia" w:ascii="Times New Roman" w:hAnsi="Times New Roman" w:eastAsia="仿宋_GB2312" w:cs="Times New Roman"/>
          <w:color w:val="auto"/>
          <w:sz w:val="32"/>
          <w:szCs w:val="32"/>
          <w:lang w:val="zh-CN" w:eastAsia="zh-CN"/>
        </w:rPr>
        <w:t>立即组织项目责任部门会议研究，分配各部门责任任务，工作明确到人，安排专业人员对项</w:t>
      </w:r>
      <w:r>
        <w:rPr>
          <w:rFonts w:hint="eastAsia" w:ascii="Times New Roman" w:hAnsi="Times New Roman" w:eastAsia="仿宋_GB2312" w:cs="Times New Roman"/>
          <w:color w:val="auto"/>
          <w:sz w:val="32"/>
          <w:szCs w:val="32"/>
          <w:lang w:val="en-US" w:eastAsia="zh-CN"/>
        </w:rPr>
        <w:t>目</w:t>
      </w:r>
      <w:r>
        <w:rPr>
          <w:rFonts w:hint="eastAsia" w:ascii="Times New Roman" w:hAnsi="Times New Roman" w:eastAsia="仿宋_GB2312" w:cs="Times New Roman"/>
          <w:color w:val="auto"/>
          <w:sz w:val="32"/>
          <w:szCs w:val="32"/>
          <w:lang w:val="zh-CN" w:eastAsia="zh-CN"/>
        </w:rPr>
        <w:t>现场进行勘查，确保工程完工且运行正常，</w:t>
      </w:r>
      <w:r>
        <w:rPr>
          <w:rFonts w:ascii="Times New Roman" w:hAnsi="Times New Roman" w:eastAsia="仿宋_GB2312" w:cs="Times New Roman"/>
          <w:color w:val="auto"/>
          <w:sz w:val="32"/>
          <w:szCs w:val="32"/>
          <w:lang w:val="en-US" w:eastAsia="zh-CN"/>
        </w:rPr>
        <w:t>收集核查资料</w:t>
      </w:r>
      <w:r>
        <w:rPr>
          <w:rFonts w:hint="eastAsia" w:ascii="Times New Roman" w:hAnsi="Times New Roman" w:eastAsia="仿宋_GB2312" w:cs="Times New Roman"/>
          <w:color w:val="auto"/>
          <w:sz w:val="32"/>
          <w:szCs w:val="32"/>
          <w:lang w:val="en-US" w:eastAsia="zh-CN"/>
        </w:rPr>
        <w:t>；</w:t>
      </w:r>
      <w:r>
        <w:rPr>
          <w:rFonts w:ascii="Times New Roman" w:hAnsi="Times New Roman" w:eastAsia="仿宋_GB2312" w:cs="Times New Roman"/>
          <w:color w:val="auto"/>
          <w:sz w:val="32"/>
          <w:szCs w:val="32"/>
          <w:lang w:val="en-US" w:eastAsia="zh-CN"/>
        </w:rPr>
        <w:t>收集该项目资金相关政策文件和项目单位相关制度等资料；核查相关制度是否完善，资金使用和费用报销是否合规、手续是否齐全，是否存在挤占、截留、挪用等情况</w:t>
      </w:r>
      <w:r>
        <w:rPr>
          <w:rFonts w:hint="eastAsia" w:ascii="Times New Roman" w:hAnsi="Times New Roman" w:eastAsia="仿宋_GB2312" w:cs="Times New Roman"/>
          <w:color w:val="auto"/>
          <w:sz w:val="32"/>
          <w:szCs w:val="32"/>
          <w:lang w:val="en-US" w:eastAsia="zh-CN"/>
        </w:rPr>
        <w:t>，</w:t>
      </w:r>
      <w:r>
        <w:rPr>
          <w:rFonts w:ascii="Times New Roman" w:hAnsi="Times New Roman" w:eastAsia="仿宋_GB2312" w:cs="Times New Roman"/>
          <w:color w:val="auto"/>
          <w:sz w:val="32"/>
          <w:szCs w:val="32"/>
          <w:lang w:val="en-US" w:eastAsia="zh-CN"/>
        </w:rPr>
        <w:t>现场查看</w:t>
      </w:r>
      <w:r>
        <w:rPr>
          <w:rFonts w:hint="eastAsia" w:ascii="Times New Roman" w:hAnsi="Times New Roman" w:eastAsia="仿宋_GB2312" w:cs="Times New Roman"/>
          <w:color w:val="auto"/>
          <w:sz w:val="32"/>
          <w:szCs w:val="32"/>
          <w:lang w:val="en-US" w:eastAsia="zh-CN"/>
        </w:rPr>
        <w:t>、</w:t>
      </w:r>
      <w:r>
        <w:rPr>
          <w:rFonts w:ascii="Times New Roman" w:hAnsi="Times New Roman" w:eastAsia="仿宋_GB2312" w:cs="Times New Roman"/>
          <w:color w:val="auto"/>
          <w:sz w:val="32"/>
          <w:szCs w:val="32"/>
          <w:lang w:val="en-US" w:eastAsia="zh-CN"/>
        </w:rPr>
        <w:t>实地查看，调查走访</w:t>
      </w:r>
      <w:r>
        <w:rPr>
          <w:rFonts w:hint="eastAsia" w:ascii="Times New Roman" w:hAnsi="Times New Roman" w:eastAsia="仿宋_GB2312" w:cs="Times New Roman"/>
          <w:color w:val="auto"/>
          <w:sz w:val="32"/>
          <w:szCs w:val="32"/>
          <w:lang w:val="en-US" w:eastAsia="zh-CN"/>
        </w:rPr>
        <w:t>；</w:t>
      </w:r>
      <w:r>
        <w:rPr>
          <w:rFonts w:ascii="Times New Roman" w:hAnsi="Times New Roman" w:eastAsia="仿宋_GB2312" w:cs="Times New Roman"/>
          <w:color w:val="auto"/>
          <w:sz w:val="32"/>
          <w:szCs w:val="32"/>
          <w:lang w:val="en-US" w:eastAsia="zh-CN"/>
        </w:rPr>
        <w:t>得出结论，形成绩效</w:t>
      </w:r>
      <w:r>
        <w:rPr>
          <w:rFonts w:hint="eastAsia" w:ascii="Times New Roman" w:hAnsi="Times New Roman"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zh-CN" w:eastAsia="zh-CN"/>
        </w:rPr>
        <w:t>汇总整理各项工程资料，对照自评标准逐条打分，编写报告。</w:t>
      </w:r>
    </w:p>
    <w:p w14:paraId="664A2901">
      <w:pPr>
        <w:numPr>
          <w:ilvl w:val="0"/>
          <w:numId w:val="0"/>
        </w:numPr>
        <w:overflowPunct w:val="0"/>
        <w:spacing w:line="600" w:lineRule="exact"/>
        <w:ind w:firstLine="640" w:firstLineChars="200"/>
        <w:rPr>
          <w:rFonts w:ascii="Times New Roman" w:hAnsi="Times New Roman" w:eastAsia="仿宋_GB2312" w:cs="Times New Roman"/>
          <w:b/>
          <w:bCs/>
          <w:color w:val="auto"/>
          <w:kern w:val="2"/>
          <w:sz w:val="32"/>
          <w:szCs w:val="32"/>
          <w:lang w:val="en-US" w:eastAsia="zh-CN" w:bidi="ar-SA"/>
        </w:rPr>
      </w:pPr>
      <w:r>
        <w:rPr>
          <w:rFonts w:hint="eastAsia" w:ascii="Times New Roman" w:hAnsi="Times New Roman" w:eastAsia="仿宋_GB2312" w:cs="Times New Roman"/>
          <w:b/>
          <w:bCs/>
          <w:color w:val="auto"/>
          <w:kern w:val="2"/>
          <w:sz w:val="32"/>
          <w:szCs w:val="32"/>
          <w:lang w:val="en-US" w:eastAsia="zh-CN" w:bidi="ar-SA"/>
        </w:rPr>
        <w:t>（二）</w:t>
      </w:r>
      <w:r>
        <w:rPr>
          <w:rFonts w:ascii="Times New Roman" w:hAnsi="Times New Roman" w:eastAsia="仿宋_GB2312" w:cs="Times New Roman"/>
          <w:b/>
          <w:bCs/>
          <w:color w:val="auto"/>
          <w:kern w:val="2"/>
          <w:sz w:val="32"/>
          <w:szCs w:val="32"/>
          <w:lang w:val="en-US" w:eastAsia="zh-CN" w:bidi="ar-SA"/>
        </w:rPr>
        <w:t xml:space="preserve">部门整体支出绩效情况 </w:t>
      </w:r>
    </w:p>
    <w:p w14:paraId="716788E5">
      <w:pPr>
        <w:numPr>
          <w:ilvl w:val="0"/>
          <w:numId w:val="0"/>
        </w:numPr>
        <w:overflowPunct w:val="0"/>
        <w:spacing w:line="600" w:lineRule="exact"/>
        <w:ind w:firstLine="420" w:firstLineChars="0"/>
        <w:rPr>
          <w:rFonts w:hint="eastAsia" w:ascii="Times New Roman" w:hAnsi="Times New Roman" w:eastAsia="仿宋_GB2312" w:cs="Times New Roman"/>
          <w:color w:val="auto"/>
          <w:kern w:val="2"/>
          <w:sz w:val="32"/>
          <w:szCs w:val="32"/>
          <w:lang w:val="en-US" w:eastAsia="zh-CN" w:bidi="ar-SA"/>
        </w:rPr>
      </w:pPr>
      <w:r>
        <w:rPr>
          <w:rFonts w:ascii="Times New Roman" w:hAnsi="Times New Roman" w:eastAsia="仿宋_GB2312" w:cs="Times New Roman"/>
          <w:color w:val="auto"/>
          <w:kern w:val="2"/>
          <w:sz w:val="32"/>
          <w:szCs w:val="32"/>
          <w:lang w:val="en-US" w:eastAsia="zh-CN" w:bidi="ar-SA"/>
        </w:rPr>
        <w:t>通过全面实施预算绩效管理，提升财政资源配置效率，实现经济效益最优化。</w:t>
      </w:r>
      <w:r>
        <w:rPr>
          <w:rFonts w:hint="eastAsia" w:ascii="Times New Roman" w:hAnsi="Times New Roman" w:eastAsia="仿宋_GB2312" w:cs="Times New Roman"/>
          <w:color w:val="auto"/>
          <w:kern w:val="2"/>
          <w:sz w:val="32"/>
          <w:szCs w:val="32"/>
          <w:lang w:val="en-US" w:eastAsia="zh-CN" w:bidi="ar-SA"/>
        </w:rPr>
        <w:t>2025</w:t>
      </w:r>
      <w:r>
        <w:rPr>
          <w:rFonts w:ascii="Times New Roman" w:hAnsi="Times New Roman" w:eastAsia="仿宋_GB2312" w:cs="Times New Roman"/>
          <w:color w:val="auto"/>
          <w:kern w:val="2"/>
          <w:sz w:val="32"/>
          <w:szCs w:val="32"/>
          <w:lang w:val="en-US" w:eastAsia="zh-CN" w:bidi="ar-SA"/>
        </w:rPr>
        <w:t xml:space="preserve"> 年为更好地贯彻落实中央厉行节约的有关规定，财务管理不断加强，部门“三公”经费实现了有效控制。编制预算科学、合理。认真搞好年初部门预算，科学合理申报资金，确保各项资金及时拨付。各项经费的支出严格按预算批准的内容和要求执行，确保单位各项工作的顺利进行</w:t>
      </w:r>
      <w:r>
        <w:rPr>
          <w:rFonts w:hint="eastAsia" w:ascii="Times New Roman" w:hAnsi="Times New Roman" w:eastAsia="仿宋_GB2312" w:cs="Times New Roman"/>
          <w:color w:val="auto"/>
          <w:kern w:val="2"/>
          <w:sz w:val="32"/>
          <w:szCs w:val="32"/>
          <w:lang w:val="en-US" w:eastAsia="zh-CN" w:bidi="ar-SA"/>
        </w:rPr>
        <w:t>。</w:t>
      </w:r>
    </w:p>
    <w:p w14:paraId="2FF6B6D0">
      <w:pPr>
        <w:numPr>
          <w:ilvl w:val="0"/>
          <w:numId w:val="0"/>
        </w:numPr>
        <w:overflowPunct w:val="0"/>
        <w:spacing w:line="600" w:lineRule="exact"/>
        <w:ind w:firstLine="420" w:firstLineChars="0"/>
        <w:rPr>
          <w:rFonts w:ascii="Times New Roman" w:hAnsi="Times New Roman" w:eastAsia="仿宋_GB2312" w:cs="Times New Roman"/>
          <w:color w:val="auto"/>
          <w:kern w:val="2"/>
          <w:sz w:val="32"/>
          <w:szCs w:val="32"/>
          <w:lang w:val="en-US" w:eastAsia="zh-CN" w:bidi="ar-SA"/>
        </w:rPr>
      </w:pPr>
      <w:r>
        <w:rPr>
          <w:rFonts w:ascii="Times New Roman" w:hAnsi="Times New Roman" w:eastAsia="仿宋_GB2312" w:cs="Times New Roman"/>
          <w:b/>
          <w:bCs/>
          <w:color w:val="auto"/>
          <w:kern w:val="2"/>
          <w:sz w:val="32"/>
          <w:szCs w:val="32"/>
          <w:lang w:val="en-US" w:eastAsia="zh-CN" w:bidi="ar-SA"/>
        </w:rPr>
        <w:t>（三）存在的问题及原因分析</w:t>
      </w:r>
      <w:r>
        <w:rPr>
          <w:rFonts w:ascii="Times New Roman" w:hAnsi="Times New Roman" w:eastAsia="仿宋_GB2312" w:cs="Times New Roman"/>
          <w:color w:val="auto"/>
          <w:kern w:val="2"/>
          <w:sz w:val="32"/>
          <w:szCs w:val="32"/>
          <w:lang w:val="en-US" w:eastAsia="zh-CN" w:bidi="ar-SA"/>
        </w:rPr>
        <w:t xml:space="preserve"> </w:t>
      </w:r>
    </w:p>
    <w:p w14:paraId="4615E6C0">
      <w:pPr>
        <w:pStyle w:val="8"/>
        <w:keepNext w:val="0"/>
        <w:keepLines w:val="0"/>
        <w:widowControl/>
        <w:suppressLineNumbers w:val="0"/>
        <w:spacing w:before="0" w:beforeAutospacing="0" w:after="0" w:afterAutospacing="0" w:line="600" w:lineRule="atLeast"/>
        <w:ind w:left="0" w:right="0" w:firstLine="560"/>
        <w:jc w:val="both"/>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1、绩效自评得分情况</w:t>
      </w:r>
    </w:p>
    <w:p w14:paraId="7E03E06E">
      <w:pPr>
        <w:pStyle w:val="8"/>
        <w:keepNext w:val="0"/>
        <w:keepLines w:val="0"/>
        <w:widowControl/>
        <w:suppressLineNumbers w:val="0"/>
        <w:spacing w:before="0" w:beforeAutospacing="0" w:after="0" w:afterAutospacing="0" w:line="600" w:lineRule="atLeast"/>
        <w:ind w:right="0" w:firstLine="640" w:firstLineChars="200"/>
        <w:jc w:val="both"/>
        <w:rPr>
          <w:rFonts w:hint="default" w:ascii="Times New Roman" w:hAnsi="Times New Roman" w:eastAsia="仿宋_GB2312" w:cs="Times New Roman"/>
          <w:color w:val="auto"/>
          <w:kern w:val="2"/>
          <w:sz w:val="32"/>
          <w:szCs w:val="32"/>
          <w:lang w:val="en-US" w:eastAsia="zh-CN" w:bidi="ar-SA"/>
        </w:rPr>
      </w:pPr>
      <w:r>
        <w:rPr>
          <w:rFonts w:ascii="Times New Roman" w:hAnsi="Times New Roman" w:eastAsia="仿宋_GB2312" w:cs="Times New Roman"/>
          <w:color w:val="auto"/>
          <w:kern w:val="2"/>
          <w:sz w:val="32"/>
          <w:szCs w:val="32"/>
          <w:lang w:val="en-US" w:eastAsia="zh-CN" w:bidi="ar-SA"/>
        </w:rPr>
        <w:t>根椐《</w:t>
      </w:r>
      <w:r>
        <w:rPr>
          <w:rFonts w:hint="eastAsia" w:ascii="Times New Roman" w:hAnsi="Times New Roman" w:eastAsia="仿宋_GB2312" w:cs="Times New Roman"/>
          <w:color w:val="auto"/>
          <w:kern w:val="2"/>
          <w:sz w:val="32"/>
          <w:szCs w:val="32"/>
          <w:lang w:val="en-US" w:eastAsia="zh-CN" w:bidi="ar-SA"/>
        </w:rPr>
        <w:t>2025</w:t>
      </w:r>
      <w:r>
        <w:rPr>
          <w:rFonts w:ascii="Times New Roman" w:hAnsi="Times New Roman" w:eastAsia="仿宋_GB2312" w:cs="Times New Roman"/>
          <w:color w:val="auto"/>
          <w:kern w:val="2"/>
          <w:sz w:val="32"/>
          <w:szCs w:val="32"/>
          <w:lang w:val="en-US" w:eastAsia="zh-CN" w:bidi="ar-SA"/>
        </w:rPr>
        <w:t>年部门整体支出绩效自评指标计分细则》，</w:t>
      </w:r>
      <w:r>
        <w:rPr>
          <w:rFonts w:hint="eastAsia" w:ascii="Times New Roman" w:hAnsi="Times New Roman" w:eastAsia="仿宋_GB2312" w:cs="Times New Roman"/>
          <w:color w:val="auto"/>
          <w:kern w:val="2"/>
          <w:sz w:val="32"/>
          <w:szCs w:val="32"/>
          <w:lang w:val="en-US" w:eastAsia="zh-CN" w:bidi="ar-SA"/>
        </w:rPr>
        <w:t>根经局绩效工作自评领导小组评价打分，县数据局（蓝山县行政审批服务局）2025年部门整体支出绩效自评得分为90分。</w:t>
      </w:r>
    </w:p>
    <w:p w14:paraId="62C5A022">
      <w:pPr>
        <w:pStyle w:val="8"/>
        <w:keepNext w:val="0"/>
        <w:keepLines w:val="0"/>
        <w:widowControl/>
        <w:suppressLineNumbers w:val="0"/>
        <w:spacing w:before="0" w:beforeAutospacing="0" w:after="0" w:afterAutospacing="0" w:line="600" w:lineRule="atLeast"/>
        <w:ind w:left="0" w:right="0" w:firstLine="560"/>
        <w:jc w:val="both"/>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2、存在的问题及原因</w:t>
      </w:r>
    </w:p>
    <w:p w14:paraId="5BBB8768">
      <w:pPr>
        <w:pStyle w:val="8"/>
        <w:keepNext w:val="0"/>
        <w:keepLines w:val="0"/>
        <w:widowControl/>
        <w:suppressLineNumbers w:val="0"/>
        <w:spacing w:before="0" w:beforeAutospacing="0" w:after="0" w:afterAutospacing="0" w:line="600" w:lineRule="atLeast"/>
        <w:ind w:right="0" w:firstLine="640" w:firstLineChars="200"/>
        <w:jc w:val="both"/>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会计基础工作及业务能力欠扎实，会计科目运用不准；未认真做好对基建账进行财务检查及业务培训及财务状况了解不深入、财务管理指导不够。</w:t>
      </w:r>
    </w:p>
    <w:p w14:paraId="4148591A">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p>
    <w:p w14:paraId="0F183285">
      <w:pPr>
        <w:pStyle w:val="14"/>
        <w:numPr>
          <w:ilvl w:val="0"/>
          <w:numId w:val="0"/>
        </w:numPr>
        <w:ind w:left="160" w:leftChars="0" w:firstLine="640" w:firstLineChars="200"/>
        <w:jc w:val="both"/>
        <w:rPr>
          <w:rFonts w:hint="eastAsia" w:ascii="方正仿宋_GB2312" w:hAnsi="方正仿宋_GB2312" w:eastAsia="方正仿宋_GB2312" w:cs="方正仿宋_GB2312"/>
          <w:sz w:val="32"/>
          <w:szCs w:val="32"/>
        </w:rPr>
      </w:pPr>
    </w:p>
    <w:p w14:paraId="13C9DBA1">
      <w:pPr>
        <w:pStyle w:val="14"/>
        <w:jc w:val="center"/>
        <w:rPr>
          <w:rFonts w:ascii="Times New Roman" w:hAnsi="Times New Roman" w:cs="Times New Roman"/>
          <w:sz w:val="72"/>
          <w:szCs w:val="72"/>
        </w:rPr>
      </w:pPr>
    </w:p>
    <w:p w14:paraId="28939BA3">
      <w:pPr>
        <w:pStyle w:val="14"/>
        <w:jc w:val="center"/>
        <w:rPr>
          <w:rFonts w:ascii="Times New Roman" w:hAnsi="Times New Roman" w:cs="Times New Roman"/>
          <w:sz w:val="72"/>
          <w:szCs w:val="72"/>
        </w:rPr>
      </w:pPr>
    </w:p>
    <w:p w14:paraId="3623D56F">
      <w:pPr>
        <w:pStyle w:val="14"/>
        <w:jc w:val="center"/>
        <w:rPr>
          <w:rFonts w:ascii="Times New Roman" w:hAnsi="Times New Roman" w:cs="Times New Roman"/>
          <w:sz w:val="72"/>
          <w:szCs w:val="72"/>
        </w:rPr>
      </w:pPr>
    </w:p>
    <w:p w14:paraId="0223B5FA">
      <w:pPr>
        <w:pStyle w:val="14"/>
        <w:spacing w:line="360" w:lineRule="auto"/>
        <w:ind w:firstLine="1040" w:firstLineChars="200"/>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78CA2C8C">
      <w:pPr>
        <w:widowControl/>
        <w:jc w:val="left"/>
        <w:rPr>
          <w:rFonts w:ascii="Times New Roman" w:hAnsi="Times New Roman" w:cs="Times New Roman"/>
          <w:color w:val="000000"/>
          <w:kern w:val="0"/>
          <w:sz w:val="32"/>
          <w:szCs w:val="32"/>
        </w:rPr>
      </w:pPr>
    </w:p>
    <w:p w14:paraId="65AFDEC1">
      <w:pPr>
        <w:widowControl/>
        <w:jc w:val="left"/>
        <w:rPr>
          <w:rFonts w:ascii="Times New Roman" w:hAnsi="Times New Roman" w:cs="Times New Roman"/>
          <w:color w:val="000000"/>
          <w:kern w:val="0"/>
          <w:sz w:val="32"/>
          <w:szCs w:val="32"/>
        </w:rPr>
      </w:pPr>
    </w:p>
    <w:p w14:paraId="24A80F92">
      <w:pPr>
        <w:widowControl/>
        <w:spacing w:line="600" w:lineRule="exact"/>
        <w:ind w:firstLine="660"/>
        <w:rPr>
          <w:rFonts w:eastAsia="仿宋_GB2312"/>
          <w:sz w:val="32"/>
          <w:szCs w:val="32"/>
        </w:rPr>
      </w:pPr>
      <w:r>
        <w:rPr>
          <w:rFonts w:ascii="Times New Roman" w:hAnsi="Times New Roman" w:eastAsia="仿宋_GB2312" w:cs="Times New Roman"/>
          <w:color w:val="000000"/>
          <w:kern w:val="0"/>
          <w:sz w:val="32"/>
          <w:szCs w:val="32"/>
        </w:rPr>
        <w:t>一、</w:t>
      </w:r>
      <w:r>
        <w:rPr>
          <w:rFonts w:eastAsia="仿宋_GB2312"/>
          <w:sz w:val="32"/>
          <w:szCs w:val="32"/>
        </w:rPr>
        <w:t>机关运行经费：是指各部门的公用经费，包括办公及印刷费、邮电费、差旅费、会议费、福利费、日常维修费、专用资料及一般设备购置费、办公用房水电费、办公用房取暖费、办公用房物业管理费、公务用车运行维护费以及其他费用。</w:t>
      </w:r>
    </w:p>
    <w:p w14:paraId="14D191B2">
      <w:pPr>
        <w:widowControl/>
        <w:spacing w:line="600" w:lineRule="exact"/>
        <w:ind w:firstLine="660"/>
        <w:rPr>
          <w:rFonts w:hint="eastAsia" w:ascii="黑体" w:hAnsi="黑体" w:eastAsia="黑体" w:cs="黑体"/>
          <w:b/>
          <w:bCs w:val="0"/>
          <w:kern w:val="0"/>
          <w:sz w:val="44"/>
          <w:szCs w:val="44"/>
        </w:rPr>
      </w:pPr>
      <w:r>
        <w:rPr>
          <w:rFonts w:ascii="Times New Roman" w:hAnsi="Times New Roman" w:eastAsia="仿宋_GB2312" w:cs="Times New Roman"/>
          <w:color w:val="000000"/>
          <w:kern w:val="0"/>
          <w:sz w:val="32"/>
          <w:szCs w:val="32"/>
        </w:rPr>
        <w:t>二</w:t>
      </w:r>
      <w:r>
        <w:rPr>
          <w:rFonts w:hint="eastAsia" w:ascii="Times New Roman" w:hAnsi="Times New Roman" w:eastAsia="仿宋_GB2312" w:cs="Times New Roman"/>
          <w:color w:val="000000"/>
          <w:kern w:val="0"/>
          <w:sz w:val="32"/>
          <w:szCs w:val="32"/>
          <w:lang w:eastAsia="zh-CN"/>
        </w:rPr>
        <w:t>、</w:t>
      </w:r>
      <w:r>
        <w:rPr>
          <w:rFonts w:eastAsia="仿宋_GB2312"/>
          <w:sz w:val="32"/>
          <w:szCs w:val="32"/>
        </w:rPr>
        <w:t>“三公”经费：</w:t>
      </w:r>
      <w:r>
        <w:rPr>
          <w:rFonts w:hint="default" w:ascii="Times New Roman" w:hAnsi="Times New Roman" w:eastAsia="仿宋_GB2312" w:cs="Times New Roman"/>
          <w:sz w:val="32"/>
          <w:szCs w:val="32"/>
        </w:rPr>
        <w:t>纳入财政预算管理的“三公“经费，是指用</w:t>
      </w:r>
      <w:r>
        <w:rPr>
          <w:rFonts w:hint="eastAsia" w:eastAsia="仿宋_GB2312" w:cs="Times New Roman"/>
          <w:sz w:val="32"/>
          <w:szCs w:val="32"/>
          <w:lang w:val="en-US" w:eastAsia="zh-CN"/>
        </w:rPr>
        <w:t>财政拨款</w:t>
      </w:r>
      <w:r>
        <w:rPr>
          <w:rFonts w:hint="default" w:ascii="Times New Roman" w:hAnsi="Times New Roman" w:eastAsia="仿宋_GB2312" w:cs="Times New Roman"/>
          <w:sz w:val="32"/>
          <w:szCs w:val="32"/>
        </w:rPr>
        <w:t>安排的因公出国</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境</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费公务用车购置及运行维护费和公务接待费。其中，因公出国</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境</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费反映单位公务出国</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境</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的国际旅费、国外城市间交通费、住宿费、伙食费、培训费、公杂费等支出</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公务用车购置及运行维护费反映单位公务用车车辆购置支出</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含车辆购置税</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及燃料费、维修费、过桥过路费、保险费、安全奖励费用等支出</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公务接待费反映单位按规定开支的各类公务接待</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含外宾接待</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支出</w:t>
      </w:r>
      <w:r>
        <w:rPr>
          <w:rFonts w:eastAsia="仿宋_GB2312"/>
          <w:sz w:val="32"/>
          <w:szCs w:val="32"/>
        </w:rPr>
        <w:t>。</w:t>
      </w:r>
    </w:p>
    <w:p w14:paraId="5D4E35B1">
      <w:pPr>
        <w:pStyle w:val="14"/>
        <w:jc w:val="center"/>
        <w:rPr>
          <w:rFonts w:ascii="Times New Roman" w:hAnsi="Times New Roman" w:cs="Times New Roman"/>
          <w:sz w:val="72"/>
          <w:szCs w:val="72"/>
        </w:rPr>
      </w:pPr>
    </w:p>
    <w:p w14:paraId="7BBB19D3">
      <w:pPr>
        <w:pStyle w:val="14"/>
        <w:spacing w:line="360" w:lineRule="auto"/>
        <w:jc w:val="center"/>
        <w:rPr>
          <w:rFonts w:ascii="Times New Roman" w:hAnsi="Times New Roman" w:eastAsia="方正小标宋_GBK" w:cs="Times New Roman"/>
          <w:sz w:val="52"/>
          <w:szCs w:val="52"/>
        </w:rPr>
      </w:pPr>
    </w:p>
    <w:p w14:paraId="65BEEA97">
      <w:pPr>
        <w:pStyle w:val="14"/>
        <w:spacing w:line="360" w:lineRule="auto"/>
        <w:jc w:val="center"/>
        <w:rPr>
          <w:rFonts w:ascii="Times New Roman" w:hAnsi="Times New Roman" w:eastAsia="方正小标宋_GBK" w:cs="Times New Roman"/>
          <w:sz w:val="52"/>
          <w:szCs w:val="52"/>
        </w:rPr>
      </w:pPr>
    </w:p>
    <w:p w14:paraId="3C393F93">
      <w:pPr>
        <w:pStyle w:val="14"/>
        <w:spacing w:line="360" w:lineRule="auto"/>
        <w:jc w:val="center"/>
        <w:rPr>
          <w:rFonts w:ascii="Times New Roman" w:hAnsi="Times New Roman" w:eastAsia="方正小标宋_GBK" w:cs="Times New Roman"/>
          <w:sz w:val="52"/>
          <w:szCs w:val="52"/>
        </w:rPr>
      </w:pPr>
    </w:p>
    <w:p w14:paraId="020A0C2B">
      <w:pPr>
        <w:pStyle w:val="14"/>
        <w:spacing w:line="360" w:lineRule="auto"/>
        <w:jc w:val="center"/>
        <w:rPr>
          <w:rFonts w:ascii="Times New Roman" w:hAnsi="Times New Roman" w:eastAsia="方正小标宋_GBK" w:cs="Times New Roman"/>
          <w:sz w:val="52"/>
          <w:szCs w:val="52"/>
        </w:rPr>
      </w:pPr>
    </w:p>
    <w:p w14:paraId="2323BF0D">
      <w:pPr>
        <w:pStyle w:val="14"/>
        <w:spacing w:line="360" w:lineRule="auto"/>
        <w:jc w:val="center"/>
        <w:rPr>
          <w:rFonts w:ascii="Times New Roman" w:hAnsi="Times New Roman" w:eastAsia="方正小标宋_GBK" w:cs="Times New Roman"/>
          <w:sz w:val="52"/>
          <w:szCs w:val="52"/>
        </w:rPr>
      </w:pPr>
    </w:p>
    <w:p w14:paraId="41A1E369">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4F1315CB">
      <w:pPr>
        <w:wordWrap/>
        <w:snapToGrid w:val="0"/>
        <w:spacing w:line="240" w:lineRule="auto"/>
        <w:jc w:val="center"/>
        <w:textAlignment w:val="auto"/>
        <w:outlineLvl w:val="0"/>
        <w:rPr>
          <w:rFonts w:hint="eastAsia" w:asciiTheme="minorEastAsia" w:hAnsiTheme="minorEastAsia" w:eastAsiaTheme="minorEastAsia" w:cstheme="minorEastAsia"/>
          <w:b w:val="0"/>
          <w:bCs w:val="0"/>
          <w:sz w:val="32"/>
          <w:szCs w:val="32"/>
          <w:lang w:eastAsia="zh-CN"/>
        </w:rPr>
      </w:pPr>
    </w:p>
    <w:p w14:paraId="2DC2FD6F">
      <w:pPr>
        <w:wordWrap/>
        <w:snapToGrid w:val="0"/>
        <w:spacing w:line="240" w:lineRule="auto"/>
        <w:jc w:val="center"/>
        <w:textAlignment w:val="auto"/>
        <w:outlineLvl w:val="0"/>
        <w:rPr>
          <w:rFonts w:hint="eastAsia" w:asciiTheme="minorEastAsia" w:hAnsiTheme="minorEastAsia" w:eastAsiaTheme="minorEastAsia" w:cstheme="minorEastAsia"/>
          <w:b w:val="0"/>
          <w:bCs w:val="0"/>
          <w:sz w:val="32"/>
          <w:szCs w:val="32"/>
        </w:rPr>
      </w:pPr>
      <w:r>
        <w:rPr>
          <w:rFonts w:hint="eastAsia" w:asciiTheme="minorEastAsia" w:hAnsiTheme="minorEastAsia" w:eastAsiaTheme="minorEastAsia" w:cstheme="minorEastAsia"/>
          <w:b w:val="0"/>
          <w:bCs w:val="0"/>
          <w:sz w:val="32"/>
          <w:szCs w:val="32"/>
          <w:lang w:eastAsia="zh-CN"/>
        </w:rPr>
        <w:t>附件一：</w:t>
      </w:r>
      <w:r>
        <w:rPr>
          <w:rFonts w:hint="eastAsia" w:asciiTheme="minorEastAsia" w:hAnsiTheme="minorEastAsia" w:eastAsiaTheme="minorEastAsia" w:cstheme="minorEastAsia"/>
          <w:b w:val="0"/>
          <w:bCs w:val="0"/>
          <w:sz w:val="32"/>
          <w:szCs w:val="32"/>
          <w:lang w:val="en-US" w:eastAsia="zh-CN"/>
        </w:rPr>
        <w:t>蓝山县数据局（行政审批服务局）</w:t>
      </w:r>
      <w:r>
        <w:rPr>
          <w:rFonts w:hint="eastAsia" w:asciiTheme="minorEastAsia" w:hAnsiTheme="minorEastAsia" w:eastAsiaTheme="minorEastAsia" w:cstheme="minorEastAsia"/>
          <w:b w:val="0"/>
          <w:bCs w:val="0"/>
          <w:sz w:val="32"/>
          <w:szCs w:val="32"/>
          <w:lang w:eastAsia="zh-CN"/>
        </w:rPr>
        <w:t>202</w:t>
      </w:r>
      <w:r>
        <w:rPr>
          <w:rFonts w:hint="eastAsia" w:asciiTheme="minorEastAsia" w:hAnsiTheme="minorEastAsia" w:eastAsiaTheme="minorEastAsia" w:cstheme="minorEastAsia"/>
          <w:b w:val="0"/>
          <w:bCs w:val="0"/>
          <w:sz w:val="32"/>
          <w:szCs w:val="32"/>
          <w:lang w:val="en-US" w:eastAsia="zh-CN"/>
        </w:rPr>
        <w:t>5</w:t>
      </w:r>
      <w:r>
        <w:rPr>
          <w:rFonts w:hint="eastAsia" w:asciiTheme="minorEastAsia" w:hAnsiTheme="minorEastAsia" w:eastAsiaTheme="minorEastAsia" w:cstheme="minorEastAsia"/>
          <w:b w:val="0"/>
          <w:bCs w:val="0"/>
          <w:sz w:val="32"/>
          <w:szCs w:val="32"/>
        </w:rPr>
        <w:t>年度</w:t>
      </w:r>
      <w:r>
        <w:rPr>
          <w:rFonts w:hint="eastAsia" w:asciiTheme="minorEastAsia" w:hAnsiTheme="minorEastAsia" w:eastAsiaTheme="minorEastAsia" w:cstheme="minorEastAsia"/>
          <w:b w:val="0"/>
          <w:bCs w:val="0"/>
          <w:sz w:val="32"/>
          <w:szCs w:val="32"/>
          <w:lang w:val="en-US" w:eastAsia="zh-CN"/>
        </w:rPr>
        <w:t>部门</w:t>
      </w:r>
      <w:r>
        <w:rPr>
          <w:rFonts w:hint="eastAsia" w:asciiTheme="minorEastAsia" w:hAnsiTheme="minorEastAsia" w:eastAsiaTheme="minorEastAsia" w:cstheme="minorEastAsia"/>
          <w:b w:val="0"/>
          <w:bCs w:val="0"/>
          <w:sz w:val="32"/>
          <w:szCs w:val="32"/>
        </w:rPr>
        <w:t>整体</w:t>
      </w:r>
      <w:r>
        <w:rPr>
          <w:rFonts w:hint="eastAsia" w:asciiTheme="minorEastAsia" w:hAnsiTheme="minorEastAsia" w:eastAsiaTheme="minorEastAsia" w:cstheme="minorEastAsia"/>
          <w:b w:val="0"/>
          <w:bCs w:val="0"/>
          <w:sz w:val="32"/>
          <w:szCs w:val="32"/>
          <w:lang w:val="en-US" w:eastAsia="zh-CN"/>
        </w:rPr>
        <w:t>支出</w:t>
      </w:r>
      <w:r>
        <w:rPr>
          <w:rFonts w:hint="eastAsia" w:asciiTheme="minorEastAsia" w:hAnsiTheme="minorEastAsia" w:eastAsiaTheme="minorEastAsia" w:cstheme="minorEastAsia"/>
          <w:b w:val="0"/>
          <w:bCs w:val="0"/>
          <w:sz w:val="32"/>
          <w:szCs w:val="32"/>
        </w:rPr>
        <w:t>绩效评价报告</w:t>
      </w:r>
    </w:p>
    <w:p w14:paraId="42DC1BCF">
      <w:pPr>
        <w:rPr>
          <w:rFonts w:hint="eastAsia" w:ascii="Times New Roman" w:hAnsi="Times New Roman" w:cs="Times New Roman" w:eastAsiaTheme="minorEastAsia"/>
          <w:sz w:val="72"/>
          <w:szCs w:val="72"/>
          <w:lang w:eastAsia="zh-CN"/>
        </w:rPr>
      </w:pPr>
    </w:p>
    <w:p w14:paraId="62C27642">
      <w:pPr>
        <w:wordWrap/>
        <w:snapToGrid w:val="0"/>
        <w:spacing w:line="240" w:lineRule="auto"/>
        <w:jc w:val="center"/>
        <w:textAlignment w:val="auto"/>
        <w:outlineLvl w:val="0"/>
        <w:rPr>
          <w:rFonts w:hint="eastAsia" w:ascii="黑体" w:hAnsi="黑体" w:eastAsia="黑体" w:cs="黑体"/>
          <w:b w:val="0"/>
          <w:bCs/>
          <w:sz w:val="36"/>
          <w:szCs w:val="36"/>
          <w:lang w:val="en-US" w:eastAsia="zh-CN"/>
        </w:rPr>
      </w:pPr>
    </w:p>
    <w:p w14:paraId="7D308BE6">
      <w:pPr>
        <w:wordWrap/>
        <w:snapToGrid w:val="0"/>
        <w:spacing w:line="240" w:lineRule="auto"/>
        <w:jc w:val="center"/>
        <w:textAlignment w:val="auto"/>
        <w:outlineLvl w:val="0"/>
        <w:rPr>
          <w:rFonts w:hint="eastAsia" w:ascii="黑体" w:hAnsi="黑体" w:eastAsia="黑体" w:cs="黑体"/>
          <w:b w:val="0"/>
          <w:bCs/>
          <w:sz w:val="36"/>
          <w:szCs w:val="36"/>
          <w:lang w:val="en-US" w:eastAsia="zh-CN"/>
        </w:rPr>
      </w:pPr>
    </w:p>
    <w:p w14:paraId="0C17D5A5">
      <w:pPr>
        <w:wordWrap/>
        <w:snapToGrid w:val="0"/>
        <w:spacing w:line="240" w:lineRule="auto"/>
        <w:jc w:val="center"/>
        <w:textAlignment w:val="auto"/>
        <w:outlineLvl w:val="0"/>
        <w:rPr>
          <w:rFonts w:hint="eastAsia" w:ascii="黑体" w:hAnsi="黑体" w:eastAsia="黑体" w:cs="黑体"/>
          <w:b w:val="0"/>
          <w:bCs/>
          <w:sz w:val="36"/>
          <w:szCs w:val="36"/>
          <w:lang w:val="en-US" w:eastAsia="zh-CN"/>
        </w:rPr>
      </w:pPr>
    </w:p>
    <w:p w14:paraId="2BA4CE80">
      <w:pPr>
        <w:wordWrap/>
        <w:snapToGrid w:val="0"/>
        <w:spacing w:line="240" w:lineRule="auto"/>
        <w:jc w:val="center"/>
        <w:textAlignment w:val="auto"/>
        <w:outlineLvl w:val="0"/>
        <w:rPr>
          <w:rFonts w:hint="eastAsia" w:ascii="黑体" w:hAnsi="黑体" w:eastAsia="黑体" w:cs="黑体"/>
          <w:b w:val="0"/>
          <w:bCs/>
          <w:sz w:val="36"/>
          <w:szCs w:val="36"/>
          <w:lang w:val="en-US" w:eastAsia="zh-CN"/>
        </w:rPr>
      </w:pPr>
    </w:p>
    <w:p w14:paraId="04FE197D">
      <w:pPr>
        <w:wordWrap/>
        <w:snapToGrid w:val="0"/>
        <w:spacing w:line="240" w:lineRule="auto"/>
        <w:jc w:val="center"/>
        <w:textAlignment w:val="auto"/>
        <w:outlineLvl w:val="0"/>
        <w:rPr>
          <w:rFonts w:hint="eastAsia" w:ascii="黑体" w:hAnsi="黑体" w:eastAsia="黑体" w:cs="黑体"/>
          <w:b w:val="0"/>
          <w:bCs/>
          <w:sz w:val="36"/>
          <w:szCs w:val="36"/>
          <w:lang w:val="en-US" w:eastAsia="zh-CN"/>
        </w:rPr>
      </w:pPr>
    </w:p>
    <w:p w14:paraId="34369070">
      <w:pPr>
        <w:wordWrap/>
        <w:snapToGrid w:val="0"/>
        <w:spacing w:line="240" w:lineRule="auto"/>
        <w:jc w:val="center"/>
        <w:textAlignment w:val="auto"/>
        <w:outlineLvl w:val="0"/>
        <w:rPr>
          <w:rFonts w:hint="eastAsia" w:ascii="黑体" w:hAnsi="黑体" w:eastAsia="黑体" w:cs="黑体"/>
          <w:b w:val="0"/>
          <w:bCs/>
          <w:sz w:val="36"/>
          <w:szCs w:val="36"/>
          <w:lang w:val="en-US" w:eastAsia="zh-CN"/>
        </w:rPr>
      </w:pPr>
    </w:p>
    <w:p w14:paraId="0A922A59">
      <w:pPr>
        <w:wordWrap/>
        <w:snapToGrid w:val="0"/>
        <w:spacing w:line="240" w:lineRule="auto"/>
        <w:jc w:val="center"/>
        <w:textAlignment w:val="auto"/>
        <w:outlineLvl w:val="0"/>
        <w:rPr>
          <w:rFonts w:hint="eastAsia" w:ascii="黑体" w:hAnsi="黑体" w:eastAsia="黑体" w:cs="黑体"/>
          <w:b w:val="0"/>
          <w:bCs/>
          <w:sz w:val="36"/>
          <w:szCs w:val="36"/>
          <w:lang w:val="en-US" w:eastAsia="zh-CN"/>
        </w:rPr>
      </w:pPr>
    </w:p>
    <w:p w14:paraId="5EE5BE35">
      <w:pPr>
        <w:wordWrap/>
        <w:snapToGrid w:val="0"/>
        <w:spacing w:line="240" w:lineRule="auto"/>
        <w:jc w:val="center"/>
        <w:textAlignment w:val="auto"/>
        <w:outlineLvl w:val="0"/>
        <w:rPr>
          <w:rFonts w:hint="eastAsia" w:ascii="黑体" w:hAnsi="黑体" w:eastAsia="黑体" w:cs="黑体"/>
          <w:b w:val="0"/>
          <w:bCs/>
          <w:sz w:val="36"/>
          <w:szCs w:val="36"/>
          <w:lang w:val="en-US" w:eastAsia="zh-CN"/>
        </w:rPr>
      </w:pPr>
    </w:p>
    <w:p w14:paraId="5F51AF71">
      <w:pPr>
        <w:wordWrap/>
        <w:snapToGrid w:val="0"/>
        <w:spacing w:line="240" w:lineRule="auto"/>
        <w:jc w:val="center"/>
        <w:textAlignment w:val="auto"/>
        <w:outlineLvl w:val="0"/>
        <w:rPr>
          <w:rFonts w:hint="eastAsia" w:ascii="黑体" w:hAnsi="黑体" w:eastAsia="黑体" w:cs="黑体"/>
          <w:b w:val="0"/>
          <w:bCs/>
          <w:sz w:val="36"/>
          <w:szCs w:val="36"/>
          <w:lang w:val="en-US" w:eastAsia="zh-CN"/>
        </w:rPr>
      </w:pPr>
    </w:p>
    <w:p w14:paraId="3C993822">
      <w:pPr>
        <w:wordWrap/>
        <w:snapToGrid w:val="0"/>
        <w:spacing w:line="240" w:lineRule="auto"/>
        <w:jc w:val="center"/>
        <w:textAlignment w:val="auto"/>
        <w:outlineLvl w:val="0"/>
        <w:rPr>
          <w:rFonts w:hint="eastAsia" w:ascii="黑体" w:hAnsi="黑体" w:eastAsia="黑体" w:cs="黑体"/>
          <w:b w:val="0"/>
          <w:bCs/>
          <w:sz w:val="36"/>
          <w:szCs w:val="36"/>
          <w:lang w:val="en-US" w:eastAsia="zh-CN"/>
        </w:rPr>
      </w:pPr>
    </w:p>
    <w:p w14:paraId="4A04C804">
      <w:pPr>
        <w:wordWrap/>
        <w:snapToGrid w:val="0"/>
        <w:spacing w:line="240" w:lineRule="auto"/>
        <w:jc w:val="center"/>
        <w:textAlignment w:val="auto"/>
        <w:outlineLvl w:val="0"/>
        <w:rPr>
          <w:rFonts w:hint="eastAsia" w:ascii="黑体" w:hAnsi="黑体" w:eastAsia="黑体" w:cs="黑体"/>
          <w:b w:val="0"/>
          <w:bCs/>
          <w:sz w:val="36"/>
          <w:szCs w:val="36"/>
          <w:lang w:val="en-US" w:eastAsia="zh-CN"/>
        </w:rPr>
      </w:pPr>
    </w:p>
    <w:p w14:paraId="321DE069">
      <w:pPr>
        <w:wordWrap/>
        <w:snapToGrid w:val="0"/>
        <w:spacing w:line="240" w:lineRule="auto"/>
        <w:jc w:val="center"/>
        <w:textAlignment w:val="auto"/>
        <w:outlineLvl w:val="0"/>
        <w:rPr>
          <w:rFonts w:hint="eastAsia" w:ascii="黑体" w:hAnsi="黑体" w:eastAsia="黑体" w:cs="黑体"/>
          <w:b w:val="0"/>
          <w:bCs/>
          <w:sz w:val="36"/>
          <w:szCs w:val="36"/>
          <w:lang w:val="en-US" w:eastAsia="zh-CN"/>
        </w:rPr>
      </w:pPr>
    </w:p>
    <w:p w14:paraId="7EE5899F">
      <w:pPr>
        <w:wordWrap/>
        <w:snapToGrid w:val="0"/>
        <w:spacing w:line="240" w:lineRule="auto"/>
        <w:jc w:val="center"/>
        <w:textAlignment w:val="auto"/>
        <w:outlineLvl w:val="0"/>
        <w:rPr>
          <w:rFonts w:hint="eastAsia" w:ascii="黑体" w:hAnsi="黑体" w:eastAsia="黑体" w:cs="黑体"/>
          <w:b w:val="0"/>
          <w:bCs/>
          <w:sz w:val="36"/>
          <w:szCs w:val="36"/>
          <w:lang w:val="en-US" w:eastAsia="zh-CN"/>
        </w:rPr>
      </w:pPr>
    </w:p>
    <w:p w14:paraId="7BE982B5">
      <w:pPr>
        <w:wordWrap/>
        <w:snapToGrid w:val="0"/>
        <w:spacing w:line="240" w:lineRule="auto"/>
        <w:jc w:val="center"/>
        <w:textAlignment w:val="auto"/>
        <w:outlineLvl w:val="0"/>
        <w:rPr>
          <w:rFonts w:hint="eastAsia" w:ascii="黑体" w:hAnsi="黑体" w:eastAsia="黑体" w:cs="黑体"/>
          <w:b w:val="0"/>
          <w:bCs/>
          <w:sz w:val="36"/>
          <w:szCs w:val="36"/>
          <w:lang w:val="en-US" w:eastAsia="zh-CN"/>
        </w:rPr>
      </w:pPr>
    </w:p>
    <w:p w14:paraId="3FE4425E">
      <w:pPr>
        <w:wordWrap/>
        <w:snapToGrid w:val="0"/>
        <w:spacing w:line="240" w:lineRule="auto"/>
        <w:jc w:val="center"/>
        <w:textAlignment w:val="auto"/>
        <w:outlineLvl w:val="0"/>
        <w:rPr>
          <w:rFonts w:hint="eastAsia" w:ascii="黑体" w:hAnsi="黑体" w:eastAsia="黑体" w:cs="黑体"/>
          <w:b w:val="0"/>
          <w:bCs/>
          <w:sz w:val="36"/>
          <w:szCs w:val="36"/>
          <w:lang w:val="en-US" w:eastAsia="zh-CN"/>
        </w:rPr>
      </w:pPr>
    </w:p>
    <w:p w14:paraId="4C2B92BF">
      <w:pPr>
        <w:wordWrap/>
        <w:snapToGrid w:val="0"/>
        <w:spacing w:line="240" w:lineRule="auto"/>
        <w:jc w:val="center"/>
        <w:textAlignment w:val="auto"/>
        <w:outlineLvl w:val="0"/>
        <w:rPr>
          <w:rFonts w:hint="eastAsia" w:ascii="黑体" w:hAnsi="黑体" w:eastAsia="黑体" w:cs="黑体"/>
          <w:b w:val="0"/>
          <w:bCs/>
          <w:sz w:val="36"/>
          <w:szCs w:val="36"/>
          <w:lang w:val="en-US" w:eastAsia="zh-CN"/>
        </w:rPr>
      </w:pPr>
    </w:p>
    <w:p w14:paraId="166E8E50">
      <w:pPr>
        <w:wordWrap/>
        <w:snapToGrid w:val="0"/>
        <w:spacing w:line="240" w:lineRule="auto"/>
        <w:jc w:val="center"/>
        <w:textAlignment w:val="auto"/>
        <w:outlineLvl w:val="0"/>
        <w:rPr>
          <w:rFonts w:hint="eastAsia" w:ascii="黑体" w:hAnsi="黑体" w:eastAsia="黑体" w:cs="黑体"/>
          <w:b w:val="0"/>
          <w:bCs/>
          <w:sz w:val="36"/>
          <w:szCs w:val="36"/>
          <w:lang w:val="en-US" w:eastAsia="zh-CN"/>
        </w:rPr>
      </w:pPr>
    </w:p>
    <w:p w14:paraId="247F2058">
      <w:pPr>
        <w:wordWrap/>
        <w:snapToGrid w:val="0"/>
        <w:spacing w:line="240" w:lineRule="auto"/>
        <w:jc w:val="center"/>
        <w:textAlignment w:val="auto"/>
        <w:outlineLvl w:val="0"/>
        <w:rPr>
          <w:rFonts w:hint="eastAsia" w:ascii="黑体" w:hAnsi="黑体" w:eastAsia="黑体" w:cs="黑体"/>
          <w:b w:val="0"/>
          <w:bCs/>
          <w:sz w:val="36"/>
          <w:szCs w:val="36"/>
          <w:lang w:val="en-US" w:eastAsia="zh-CN"/>
        </w:rPr>
      </w:pPr>
    </w:p>
    <w:p w14:paraId="6D02EDBA">
      <w:pPr>
        <w:wordWrap/>
        <w:snapToGrid w:val="0"/>
        <w:spacing w:line="240" w:lineRule="auto"/>
        <w:jc w:val="center"/>
        <w:textAlignment w:val="auto"/>
        <w:outlineLvl w:val="0"/>
        <w:rPr>
          <w:rFonts w:hint="eastAsia" w:ascii="黑体" w:hAnsi="黑体" w:eastAsia="黑体" w:cs="黑体"/>
          <w:b w:val="0"/>
          <w:bCs/>
          <w:sz w:val="36"/>
          <w:szCs w:val="36"/>
          <w:lang w:val="en-US" w:eastAsia="zh-CN"/>
        </w:rPr>
      </w:pPr>
    </w:p>
    <w:p w14:paraId="66D912CA">
      <w:pPr>
        <w:wordWrap/>
        <w:snapToGrid w:val="0"/>
        <w:spacing w:line="240" w:lineRule="auto"/>
        <w:jc w:val="center"/>
        <w:textAlignment w:val="auto"/>
        <w:outlineLvl w:val="0"/>
        <w:rPr>
          <w:rFonts w:hint="eastAsia" w:ascii="黑体" w:hAnsi="黑体" w:eastAsia="黑体" w:cs="黑体"/>
          <w:b w:val="0"/>
          <w:bCs/>
          <w:sz w:val="36"/>
          <w:szCs w:val="36"/>
          <w:lang w:val="en-US" w:eastAsia="zh-CN"/>
        </w:rPr>
      </w:pPr>
    </w:p>
    <w:p w14:paraId="31987FC2">
      <w:pPr>
        <w:wordWrap/>
        <w:snapToGrid w:val="0"/>
        <w:spacing w:line="240" w:lineRule="auto"/>
        <w:jc w:val="left"/>
        <w:textAlignment w:val="auto"/>
        <w:outlineLvl w:val="0"/>
        <w:rPr>
          <w:rFonts w:hint="eastAsia" w:ascii="黑体" w:hAnsi="黑体" w:eastAsia="黑体" w:cs="黑体"/>
          <w:b w:val="0"/>
          <w:bCs/>
          <w:sz w:val="36"/>
          <w:szCs w:val="36"/>
          <w:lang w:val="en-US" w:eastAsia="zh-CN"/>
        </w:rPr>
      </w:pPr>
      <w:r>
        <w:rPr>
          <w:rFonts w:hint="eastAsia" w:ascii="黑体" w:hAnsi="黑体" w:eastAsia="黑体" w:cs="黑体"/>
          <w:b w:val="0"/>
          <w:bCs/>
          <w:sz w:val="36"/>
          <w:szCs w:val="36"/>
          <w:lang w:val="en-US" w:eastAsia="zh-CN"/>
        </w:rPr>
        <w:t>附件一</w:t>
      </w:r>
    </w:p>
    <w:p w14:paraId="7D87548D">
      <w:pPr>
        <w:wordWrap/>
        <w:snapToGrid w:val="0"/>
        <w:spacing w:line="240" w:lineRule="auto"/>
        <w:jc w:val="center"/>
        <w:textAlignment w:val="auto"/>
        <w:outlineLvl w:val="0"/>
        <w:rPr>
          <w:rFonts w:hint="eastAsia" w:ascii="黑体" w:hAnsi="黑体" w:eastAsia="黑体" w:cs="黑体"/>
          <w:b w:val="0"/>
          <w:bCs/>
          <w:sz w:val="36"/>
          <w:szCs w:val="36"/>
          <w:lang w:val="en-US" w:eastAsia="zh-CN"/>
        </w:rPr>
      </w:pPr>
    </w:p>
    <w:p w14:paraId="005B1B36">
      <w:pPr>
        <w:wordWrap/>
        <w:snapToGrid w:val="0"/>
        <w:spacing w:line="240" w:lineRule="auto"/>
        <w:jc w:val="center"/>
        <w:textAlignment w:val="auto"/>
        <w:outlineLvl w:val="0"/>
        <w:rPr>
          <w:rFonts w:hint="eastAsia" w:ascii="黑体" w:hAnsi="黑体" w:eastAsia="黑体" w:cs="黑体"/>
          <w:b w:val="0"/>
          <w:bCs/>
          <w:sz w:val="36"/>
          <w:szCs w:val="36"/>
          <w:lang w:val="en-US" w:eastAsia="zh-CN"/>
        </w:rPr>
      </w:pPr>
    </w:p>
    <w:p w14:paraId="7748704E">
      <w:pPr>
        <w:wordWrap/>
        <w:snapToGrid w:val="0"/>
        <w:spacing w:line="240" w:lineRule="auto"/>
        <w:jc w:val="center"/>
        <w:textAlignment w:val="auto"/>
        <w:outlineLvl w:val="0"/>
        <w:rPr>
          <w:rFonts w:hint="eastAsia" w:ascii="黑体" w:hAnsi="黑体" w:eastAsia="黑体" w:cs="黑体"/>
          <w:b w:val="0"/>
          <w:bCs/>
          <w:sz w:val="36"/>
          <w:szCs w:val="36"/>
        </w:rPr>
      </w:pPr>
      <w:r>
        <w:rPr>
          <w:rFonts w:hint="eastAsia" w:ascii="黑体" w:hAnsi="黑体" w:eastAsia="黑体" w:cs="黑体"/>
          <w:b w:val="0"/>
          <w:bCs/>
          <w:sz w:val="36"/>
          <w:szCs w:val="36"/>
          <w:lang w:val="en-US" w:eastAsia="zh-CN"/>
        </w:rPr>
        <w:t>蓝山县数据局（行政审批服务局）</w:t>
      </w:r>
      <w:r>
        <w:rPr>
          <w:rFonts w:hint="eastAsia" w:ascii="黑体" w:hAnsi="黑体" w:eastAsia="黑体" w:cs="黑体"/>
          <w:b w:val="0"/>
          <w:bCs/>
          <w:sz w:val="36"/>
          <w:szCs w:val="36"/>
          <w:lang w:eastAsia="zh-CN"/>
        </w:rPr>
        <w:t>202</w:t>
      </w:r>
      <w:r>
        <w:rPr>
          <w:rFonts w:hint="eastAsia" w:ascii="黑体" w:hAnsi="黑体" w:eastAsia="黑体" w:cs="黑体"/>
          <w:b w:val="0"/>
          <w:bCs/>
          <w:sz w:val="36"/>
          <w:szCs w:val="36"/>
          <w:lang w:val="en-US" w:eastAsia="zh-CN"/>
        </w:rPr>
        <w:t>5</w:t>
      </w:r>
      <w:r>
        <w:rPr>
          <w:rFonts w:hint="eastAsia" w:ascii="黑体" w:hAnsi="黑体" w:eastAsia="黑体" w:cs="黑体"/>
          <w:b w:val="0"/>
          <w:bCs/>
          <w:sz w:val="36"/>
          <w:szCs w:val="36"/>
        </w:rPr>
        <w:t>年度</w:t>
      </w:r>
      <w:r>
        <w:rPr>
          <w:rFonts w:hint="eastAsia" w:ascii="黑体" w:hAnsi="黑体" w:eastAsia="黑体" w:cs="黑体"/>
          <w:b w:val="0"/>
          <w:bCs/>
          <w:sz w:val="36"/>
          <w:szCs w:val="36"/>
          <w:lang w:val="en-US" w:eastAsia="zh-CN"/>
        </w:rPr>
        <w:t>部门</w:t>
      </w:r>
      <w:r>
        <w:rPr>
          <w:rFonts w:hint="eastAsia" w:ascii="黑体" w:hAnsi="黑体" w:eastAsia="黑体" w:cs="黑体"/>
          <w:b w:val="0"/>
          <w:bCs/>
          <w:sz w:val="36"/>
          <w:szCs w:val="36"/>
        </w:rPr>
        <w:t>整体</w:t>
      </w:r>
      <w:r>
        <w:rPr>
          <w:rFonts w:hint="eastAsia" w:ascii="黑体" w:hAnsi="黑体" w:eastAsia="黑体" w:cs="黑体"/>
          <w:b w:val="0"/>
          <w:bCs/>
          <w:sz w:val="36"/>
          <w:szCs w:val="36"/>
          <w:lang w:val="en-US" w:eastAsia="zh-CN"/>
        </w:rPr>
        <w:t>支出</w:t>
      </w:r>
      <w:r>
        <w:rPr>
          <w:rFonts w:hint="eastAsia" w:ascii="黑体" w:hAnsi="黑体" w:eastAsia="黑体" w:cs="黑体"/>
          <w:b w:val="0"/>
          <w:bCs/>
          <w:sz w:val="36"/>
          <w:szCs w:val="36"/>
        </w:rPr>
        <w:t>绩效评价报告</w:t>
      </w:r>
    </w:p>
    <w:p w14:paraId="5368FA2F">
      <w:pPr>
        <w:keepNext w:val="0"/>
        <w:keepLines w:val="0"/>
        <w:pageBreakBefore w:val="0"/>
        <w:widowControl/>
        <w:kinsoku/>
        <w:overflowPunct/>
        <w:topLinePunct w:val="0"/>
        <w:autoSpaceDE/>
        <w:autoSpaceDN/>
        <w:bidi w:val="0"/>
        <w:spacing w:beforeAutospacing="0" w:after="0" w:afterAutospacing="0" w:line="360" w:lineRule="auto"/>
        <w:jc w:val="left"/>
        <w:textAlignment w:val="center"/>
        <w:rPr>
          <w:rFonts w:hint="eastAsia" w:ascii="仿宋" w:hAnsi="仿宋" w:eastAsia="仿宋" w:cs="仿宋"/>
          <w:b w:val="0"/>
          <w:bCs/>
          <w:sz w:val="32"/>
          <w:szCs w:val="32"/>
        </w:rPr>
      </w:pPr>
    </w:p>
    <w:p w14:paraId="3311CBD2">
      <w:pPr>
        <w:keepNext w:val="0"/>
        <w:keepLines w:val="0"/>
        <w:pageBreakBefore w:val="0"/>
        <w:widowControl/>
        <w:kinsoku/>
        <w:overflowPunct/>
        <w:topLinePunct w:val="0"/>
        <w:autoSpaceDE/>
        <w:autoSpaceDN/>
        <w:bidi w:val="0"/>
        <w:spacing w:beforeAutospacing="0" w:after="0" w:afterAutospacing="0" w:line="360" w:lineRule="auto"/>
        <w:ind w:firstLine="640" w:firstLineChars="200"/>
        <w:jc w:val="left"/>
        <w:textAlignment w:val="center"/>
        <w:rPr>
          <w:rFonts w:hint="eastAsia" w:ascii="仿宋" w:hAnsi="仿宋" w:eastAsia="仿宋" w:cs="仿宋"/>
          <w:b w:val="0"/>
          <w:bCs/>
          <w:sz w:val="32"/>
          <w:szCs w:val="32"/>
        </w:rPr>
      </w:pPr>
      <w:r>
        <w:rPr>
          <w:rFonts w:hint="eastAsia" w:ascii="仿宋" w:hAnsi="仿宋" w:eastAsia="仿宋" w:cs="仿宋"/>
          <w:b w:val="0"/>
          <w:bCs/>
          <w:sz w:val="32"/>
          <w:szCs w:val="32"/>
        </w:rPr>
        <w:t>根据《中华人民共和国预算法》、中共湖南省委办公厅湖南省人民政府办公厅《关于全面实施预算绩效管理的实施意见》（湘办发[</w:t>
      </w:r>
      <w:r>
        <w:rPr>
          <w:rFonts w:hint="eastAsia" w:ascii="仿宋" w:hAnsi="仿宋" w:eastAsia="仿宋" w:cs="仿宋"/>
          <w:b w:val="0"/>
          <w:bCs/>
          <w:sz w:val="32"/>
          <w:szCs w:val="32"/>
          <w:lang w:eastAsia="zh-CN"/>
        </w:rPr>
        <w:t>20</w:t>
      </w:r>
      <w:r>
        <w:rPr>
          <w:rFonts w:hint="eastAsia" w:ascii="仿宋" w:hAnsi="仿宋" w:eastAsia="仿宋" w:cs="仿宋"/>
          <w:b w:val="0"/>
          <w:bCs/>
          <w:sz w:val="32"/>
          <w:szCs w:val="32"/>
          <w:lang w:val="en-US" w:eastAsia="zh-CN"/>
        </w:rPr>
        <w:t>19</w:t>
      </w:r>
      <w:r>
        <w:rPr>
          <w:rFonts w:hint="eastAsia" w:ascii="仿宋" w:hAnsi="仿宋" w:eastAsia="仿宋" w:cs="仿宋"/>
          <w:b w:val="0"/>
          <w:bCs/>
          <w:sz w:val="32"/>
          <w:szCs w:val="32"/>
        </w:rPr>
        <w:t>]1</w:t>
      </w:r>
      <w:r>
        <w:rPr>
          <w:rFonts w:hint="eastAsia" w:ascii="仿宋" w:hAnsi="仿宋" w:eastAsia="仿宋" w:cs="仿宋"/>
          <w:b w:val="0"/>
          <w:bCs/>
          <w:sz w:val="32"/>
          <w:szCs w:val="32"/>
          <w:lang w:val="en-US" w:eastAsia="zh-CN"/>
        </w:rPr>
        <w:t>0</w:t>
      </w:r>
      <w:r>
        <w:rPr>
          <w:rFonts w:hint="eastAsia" w:ascii="仿宋" w:hAnsi="仿宋" w:eastAsia="仿宋" w:cs="仿宋"/>
          <w:b w:val="0"/>
          <w:bCs/>
          <w:sz w:val="32"/>
          <w:szCs w:val="32"/>
        </w:rPr>
        <w:t>号）</w:t>
      </w:r>
      <w:r>
        <w:rPr>
          <w:rFonts w:hint="eastAsia" w:ascii="仿宋" w:hAnsi="仿宋" w:eastAsia="仿宋" w:cs="仿宋"/>
          <w:b w:val="0"/>
          <w:bCs/>
          <w:sz w:val="32"/>
          <w:szCs w:val="32"/>
          <w:lang w:eastAsia="zh-CN"/>
        </w:rPr>
        <w:t>、《</w:t>
      </w:r>
      <w:r>
        <w:rPr>
          <w:rFonts w:hint="eastAsia" w:ascii="仿宋" w:hAnsi="仿宋" w:eastAsia="仿宋" w:cs="仿宋"/>
          <w:b w:val="0"/>
          <w:bCs/>
          <w:sz w:val="32"/>
          <w:szCs w:val="32"/>
          <w:lang w:val="en-US" w:eastAsia="zh-CN"/>
        </w:rPr>
        <w:t>蓝山县财政局</w:t>
      </w:r>
      <w:r>
        <w:rPr>
          <w:rFonts w:hint="eastAsia" w:ascii="仿宋" w:hAnsi="仿宋" w:eastAsia="仿宋" w:cs="仿宋"/>
          <w:b w:val="0"/>
          <w:bCs/>
          <w:sz w:val="32"/>
          <w:szCs w:val="32"/>
        </w:rPr>
        <w:t>关于</w:t>
      </w:r>
      <w:r>
        <w:rPr>
          <w:rFonts w:hint="eastAsia" w:ascii="仿宋" w:hAnsi="仿宋" w:eastAsia="仿宋" w:cs="仿宋"/>
          <w:b w:val="0"/>
          <w:bCs/>
          <w:sz w:val="32"/>
          <w:szCs w:val="32"/>
          <w:lang w:val="en-US" w:eastAsia="zh-CN"/>
        </w:rPr>
        <w:t>开展</w:t>
      </w:r>
      <w:r>
        <w:rPr>
          <w:rFonts w:hint="eastAsia" w:ascii="仿宋" w:hAnsi="仿宋" w:eastAsia="仿宋" w:cs="仿宋"/>
          <w:b w:val="0"/>
          <w:bCs/>
          <w:sz w:val="32"/>
          <w:szCs w:val="32"/>
          <w:lang w:eastAsia="zh-CN"/>
        </w:rPr>
        <w:t>202</w:t>
      </w:r>
      <w:r>
        <w:rPr>
          <w:rFonts w:hint="eastAsia" w:ascii="仿宋" w:hAnsi="仿宋" w:eastAsia="仿宋" w:cs="仿宋"/>
          <w:b w:val="0"/>
          <w:bCs/>
          <w:sz w:val="32"/>
          <w:szCs w:val="32"/>
          <w:lang w:val="en-US" w:eastAsia="zh-CN"/>
        </w:rPr>
        <w:t>5</w:t>
      </w:r>
      <w:r>
        <w:rPr>
          <w:rFonts w:hint="eastAsia" w:ascii="仿宋" w:hAnsi="仿宋" w:eastAsia="仿宋" w:cs="仿宋"/>
          <w:b w:val="0"/>
          <w:bCs/>
          <w:sz w:val="32"/>
          <w:szCs w:val="32"/>
        </w:rPr>
        <w:t>年度</w:t>
      </w:r>
      <w:r>
        <w:rPr>
          <w:rFonts w:hint="eastAsia" w:ascii="仿宋" w:hAnsi="仿宋" w:eastAsia="仿宋" w:cs="仿宋"/>
          <w:b w:val="0"/>
          <w:bCs/>
          <w:sz w:val="32"/>
          <w:szCs w:val="32"/>
          <w:lang w:val="en-US" w:eastAsia="zh-CN"/>
        </w:rPr>
        <w:t>财政</w:t>
      </w:r>
      <w:r>
        <w:rPr>
          <w:rFonts w:hint="eastAsia" w:ascii="仿宋" w:hAnsi="仿宋" w:eastAsia="仿宋" w:cs="仿宋"/>
          <w:b w:val="0"/>
          <w:bCs/>
          <w:sz w:val="32"/>
          <w:szCs w:val="32"/>
        </w:rPr>
        <w:t>支出绩效</w:t>
      </w:r>
      <w:r>
        <w:rPr>
          <w:rFonts w:hint="eastAsia" w:ascii="仿宋" w:hAnsi="仿宋" w:eastAsia="仿宋" w:cs="仿宋"/>
          <w:b w:val="0"/>
          <w:bCs/>
          <w:sz w:val="32"/>
          <w:szCs w:val="32"/>
          <w:lang w:eastAsia="zh-CN"/>
        </w:rPr>
        <w:t>自评</w:t>
      </w:r>
      <w:r>
        <w:rPr>
          <w:rFonts w:hint="eastAsia" w:ascii="仿宋" w:hAnsi="仿宋" w:eastAsia="仿宋" w:cs="仿宋"/>
          <w:b w:val="0"/>
          <w:bCs/>
          <w:sz w:val="32"/>
          <w:szCs w:val="32"/>
        </w:rPr>
        <w:t>工作的通知</w:t>
      </w:r>
      <w:r>
        <w:rPr>
          <w:rFonts w:hint="eastAsia" w:ascii="仿宋" w:hAnsi="仿宋" w:eastAsia="仿宋" w:cs="仿宋"/>
          <w:b w:val="0"/>
          <w:bCs/>
          <w:sz w:val="32"/>
          <w:szCs w:val="32"/>
          <w:lang w:eastAsia="zh-CN"/>
        </w:rPr>
        <w:t>》</w:t>
      </w:r>
      <w:r>
        <w:rPr>
          <w:rFonts w:hint="eastAsia" w:ascii="仿宋" w:hAnsi="仿宋" w:eastAsia="仿宋" w:cs="仿宋"/>
          <w:b w:val="0"/>
          <w:bCs/>
          <w:sz w:val="32"/>
          <w:szCs w:val="32"/>
          <w:lang w:val="en-US" w:eastAsia="zh-CN"/>
        </w:rPr>
        <w:t>精神</w:t>
      </w:r>
      <w:r>
        <w:rPr>
          <w:rFonts w:hint="eastAsia" w:ascii="仿宋" w:hAnsi="仿宋" w:eastAsia="仿宋" w:cs="仿宋"/>
          <w:b w:val="0"/>
          <w:bCs/>
          <w:sz w:val="32"/>
          <w:szCs w:val="32"/>
        </w:rPr>
        <w:t>，我单位领导高度重视，认真组织，对</w:t>
      </w:r>
      <w:r>
        <w:rPr>
          <w:rFonts w:hint="eastAsia" w:ascii="仿宋" w:hAnsi="仿宋" w:eastAsia="仿宋" w:cs="仿宋"/>
          <w:b w:val="0"/>
          <w:bCs/>
          <w:sz w:val="32"/>
          <w:szCs w:val="32"/>
          <w:lang w:eastAsia="zh-CN"/>
        </w:rPr>
        <w:t>202</w:t>
      </w:r>
      <w:r>
        <w:rPr>
          <w:rFonts w:hint="eastAsia" w:ascii="仿宋" w:hAnsi="仿宋" w:eastAsia="仿宋" w:cs="仿宋"/>
          <w:b w:val="0"/>
          <w:bCs/>
          <w:sz w:val="32"/>
          <w:szCs w:val="32"/>
          <w:lang w:val="en-US" w:eastAsia="zh-CN"/>
        </w:rPr>
        <w:t>5</w:t>
      </w:r>
      <w:r>
        <w:rPr>
          <w:rFonts w:hint="eastAsia" w:ascii="仿宋" w:hAnsi="仿宋" w:eastAsia="仿宋" w:cs="仿宋"/>
          <w:b w:val="0"/>
          <w:bCs/>
          <w:sz w:val="32"/>
          <w:szCs w:val="32"/>
        </w:rPr>
        <w:t>年部门整体支出进行了绩效</w:t>
      </w:r>
      <w:r>
        <w:rPr>
          <w:rFonts w:hint="eastAsia" w:ascii="仿宋" w:hAnsi="仿宋" w:eastAsia="仿宋" w:cs="仿宋"/>
          <w:b w:val="0"/>
          <w:bCs/>
          <w:sz w:val="32"/>
          <w:szCs w:val="32"/>
          <w:lang w:val="en-US" w:eastAsia="zh-CN"/>
        </w:rPr>
        <w:t>自评</w:t>
      </w:r>
      <w:r>
        <w:rPr>
          <w:rFonts w:hint="eastAsia" w:ascii="仿宋" w:hAnsi="仿宋" w:eastAsia="仿宋" w:cs="仿宋"/>
          <w:b w:val="0"/>
          <w:bCs/>
          <w:sz w:val="32"/>
          <w:szCs w:val="32"/>
        </w:rPr>
        <w:t>，现将我单位部门整体支出绩效</w:t>
      </w:r>
      <w:r>
        <w:rPr>
          <w:rFonts w:hint="eastAsia" w:ascii="仿宋" w:hAnsi="仿宋" w:eastAsia="仿宋" w:cs="仿宋"/>
          <w:b w:val="0"/>
          <w:bCs/>
          <w:sz w:val="32"/>
          <w:szCs w:val="32"/>
          <w:lang w:val="en-US" w:eastAsia="zh-CN"/>
        </w:rPr>
        <w:t>自评</w:t>
      </w:r>
      <w:r>
        <w:rPr>
          <w:rFonts w:hint="eastAsia" w:ascii="仿宋" w:hAnsi="仿宋" w:eastAsia="仿宋" w:cs="仿宋"/>
          <w:b w:val="0"/>
          <w:bCs/>
          <w:sz w:val="32"/>
          <w:szCs w:val="32"/>
        </w:rPr>
        <w:t>情况报告如下：           </w:t>
      </w:r>
    </w:p>
    <w:p w14:paraId="3F9732C6">
      <w:pPr>
        <w:pStyle w:val="8"/>
        <w:keepNext w:val="0"/>
        <w:keepLines w:val="0"/>
        <w:pageBreakBefore w:val="0"/>
        <w:widowControl/>
        <w:pBdr>
          <w:top w:val="none" w:color="auto" w:sz="0" w:space="0"/>
          <w:left w:val="none" w:color="auto" w:sz="0" w:space="0"/>
          <w:bottom w:val="none" w:color="auto" w:sz="0" w:space="0"/>
          <w:right w:val="none" w:color="auto" w:sz="0" w:space="0"/>
        </w:pBdr>
        <w:shd w:val="clear" w:color="060000" w:fill="FFFFFF"/>
        <w:kinsoku/>
        <w:overflowPunct/>
        <w:topLinePunct w:val="0"/>
        <w:autoSpaceDE/>
        <w:autoSpaceDN/>
        <w:bidi w:val="0"/>
        <w:spacing w:before="0" w:beforeAutospacing="0" w:after="0" w:afterAutospacing="0" w:line="360" w:lineRule="auto"/>
        <w:ind w:left="0" w:right="0" w:firstLine="640" w:firstLineChars="200"/>
        <w:jc w:val="both"/>
        <w:textAlignment w:val="center"/>
        <w:rPr>
          <w:rFonts w:hint="eastAsia" w:ascii="仿宋" w:hAnsi="仿宋" w:eastAsia="仿宋" w:cs="仿宋"/>
          <w:b/>
          <w:bCs w:val="0"/>
          <w:kern w:val="0"/>
          <w:sz w:val="32"/>
          <w:szCs w:val="32"/>
          <w:lang w:val="en-US" w:eastAsia="zh-CN" w:bidi="ar-SA"/>
        </w:rPr>
      </w:pPr>
      <w:r>
        <w:rPr>
          <w:rFonts w:hint="eastAsia" w:ascii="仿宋" w:hAnsi="仿宋" w:eastAsia="仿宋" w:cs="仿宋"/>
          <w:b/>
          <w:bCs w:val="0"/>
          <w:kern w:val="0"/>
          <w:sz w:val="32"/>
          <w:szCs w:val="32"/>
          <w:lang w:val="en-US" w:eastAsia="zh-CN" w:bidi="ar-SA"/>
        </w:rPr>
        <w:t>一、部门概况</w:t>
      </w:r>
    </w:p>
    <w:p w14:paraId="2F36D6B1">
      <w:pPr>
        <w:pStyle w:val="8"/>
        <w:keepNext w:val="0"/>
        <w:keepLines w:val="0"/>
        <w:pageBreakBefore w:val="0"/>
        <w:widowControl/>
        <w:pBdr>
          <w:top w:val="none" w:color="auto" w:sz="0" w:space="0"/>
          <w:left w:val="none" w:color="auto" w:sz="0" w:space="0"/>
          <w:bottom w:val="none" w:color="auto" w:sz="0" w:space="0"/>
          <w:right w:val="none" w:color="auto" w:sz="0" w:space="0"/>
        </w:pBdr>
        <w:shd w:val="clear" w:color="060000" w:fill="FFFFFF"/>
        <w:kinsoku/>
        <w:overflowPunct/>
        <w:topLinePunct w:val="0"/>
        <w:autoSpaceDE/>
        <w:autoSpaceDN/>
        <w:bidi w:val="0"/>
        <w:spacing w:before="0" w:beforeAutospacing="0" w:after="0" w:afterAutospacing="0" w:line="360" w:lineRule="auto"/>
        <w:ind w:left="0" w:right="0" w:firstLine="640" w:firstLineChars="200"/>
        <w:jc w:val="both"/>
        <w:textAlignment w:val="center"/>
        <w:rPr>
          <w:rFonts w:hint="eastAsia" w:ascii="仿宋" w:hAnsi="仿宋" w:eastAsia="仿宋" w:cs="仿宋"/>
          <w:b w:val="0"/>
          <w:bCs/>
          <w:kern w:val="0"/>
          <w:sz w:val="32"/>
          <w:szCs w:val="32"/>
          <w:lang w:val="en-US" w:eastAsia="zh-CN" w:bidi="ar-SA"/>
        </w:rPr>
      </w:pPr>
      <w:r>
        <w:rPr>
          <w:rFonts w:hint="eastAsia" w:ascii="仿宋" w:hAnsi="仿宋" w:eastAsia="仿宋" w:cs="仿宋"/>
          <w:b w:val="0"/>
          <w:bCs/>
          <w:kern w:val="0"/>
          <w:sz w:val="32"/>
          <w:szCs w:val="32"/>
          <w:lang w:val="en-US" w:eastAsia="zh-CN" w:bidi="ar-SA"/>
        </w:rPr>
        <w:t>(一）部门基本情况。</w:t>
      </w:r>
    </w:p>
    <w:p w14:paraId="0F70F602">
      <w:pPr>
        <w:pStyle w:val="8"/>
        <w:keepNext w:val="0"/>
        <w:keepLines w:val="0"/>
        <w:pageBreakBefore w:val="0"/>
        <w:widowControl/>
        <w:pBdr>
          <w:top w:val="none" w:color="auto" w:sz="0" w:space="0"/>
          <w:left w:val="none" w:color="auto" w:sz="0" w:space="0"/>
          <w:bottom w:val="none" w:color="auto" w:sz="0" w:space="0"/>
          <w:right w:val="none" w:color="auto" w:sz="0" w:space="0"/>
        </w:pBdr>
        <w:shd w:val="clear" w:color="060000" w:fill="FFFFFF"/>
        <w:kinsoku/>
        <w:overflowPunct/>
        <w:topLinePunct w:val="0"/>
        <w:autoSpaceDE/>
        <w:autoSpaceDN/>
        <w:bidi w:val="0"/>
        <w:spacing w:before="0" w:beforeAutospacing="0" w:after="0" w:afterAutospacing="0" w:line="360" w:lineRule="auto"/>
        <w:ind w:left="0" w:right="0" w:firstLine="640" w:firstLineChars="200"/>
        <w:jc w:val="both"/>
        <w:textAlignment w:val="center"/>
        <w:rPr>
          <w:rFonts w:hint="eastAsia" w:ascii="仿宋" w:hAnsi="仿宋" w:eastAsia="仿宋" w:cs="仿宋"/>
          <w:b w:val="0"/>
          <w:bCs/>
          <w:kern w:val="0"/>
          <w:sz w:val="32"/>
          <w:szCs w:val="32"/>
          <w:lang w:val="en-US" w:eastAsia="zh-CN" w:bidi="ar-SA"/>
        </w:rPr>
      </w:pPr>
      <w:r>
        <w:rPr>
          <w:rFonts w:hint="eastAsia" w:ascii="仿宋" w:hAnsi="仿宋" w:eastAsia="仿宋" w:cs="仿宋"/>
          <w:b w:val="0"/>
          <w:bCs/>
          <w:kern w:val="0"/>
          <w:sz w:val="32"/>
          <w:szCs w:val="32"/>
          <w:lang w:val="en-US" w:eastAsia="zh-CN" w:bidi="ar-SA"/>
        </w:rPr>
        <w:t>蓝山县数据局（行政审批服务局）成立于2019年3月，下辖政务服务中心、数据资源中心、现场查勘中心3个副科级事业单位，包括办公室、财务股、政工股、行政审批制度改革股、政务公开和服务管理股、政务联动处置股等职能股室，具体工作职责包括：</w:t>
      </w:r>
    </w:p>
    <w:p w14:paraId="07E2F0A9">
      <w:pPr>
        <w:pStyle w:val="8"/>
        <w:keepNext w:val="0"/>
        <w:keepLines w:val="0"/>
        <w:pageBreakBefore w:val="0"/>
        <w:widowControl/>
        <w:pBdr>
          <w:top w:val="none" w:color="auto" w:sz="0" w:space="0"/>
          <w:left w:val="none" w:color="auto" w:sz="0" w:space="0"/>
          <w:bottom w:val="none" w:color="auto" w:sz="0" w:space="0"/>
          <w:right w:val="none" w:color="auto" w:sz="0" w:space="0"/>
        </w:pBdr>
        <w:shd w:val="clear" w:color="060000" w:fill="FFFFFF"/>
        <w:kinsoku/>
        <w:overflowPunct/>
        <w:topLinePunct w:val="0"/>
        <w:autoSpaceDE/>
        <w:autoSpaceDN/>
        <w:bidi w:val="0"/>
        <w:spacing w:before="0" w:beforeAutospacing="0" w:after="0" w:afterAutospacing="0" w:line="360" w:lineRule="auto"/>
        <w:ind w:left="0" w:right="0" w:firstLine="640" w:firstLineChars="200"/>
        <w:jc w:val="both"/>
        <w:textAlignment w:val="center"/>
        <w:rPr>
          <w:rFonts w:hint="eastAsia" w:ascii="仿宋" w:hAnsi="仿宋" w:eastAsia="仿宋" w:cs="仿宋"/>
          <w:b w:val="0"/>
          <w:bCs/>
          <w:kern w:val="0"/>
          <w:sz w:val="32"/>
          <w:szCs w:val="32"/>
          <w:lang w:val="en-US" w:eastAsia="zh-CN" w:bidi="ar-SA"/>
        </w:rPr>
      </w:pPr>
      <w:r>
        <w:rPr>
          <w:rFonts w:hint="eastAsia" w:ascii="仿宋" w:hAnsi="仿宋" w:eastAsia="仿宋" w:cs="仿宋"/>
          <w:b w:val="0"/>
          <w:bCs/>
          <w:kern w:val="0"/>
          <w:sz w:val="32"/>
          <w:szCs w:val="32"/>
          <w:lang w:val="en-US" w:eastAsia="zh-CN" w:bidi="ar-SA"/>
        </w:rPr>
        <w:t>1、推进、指导、协调、监督全县政务公开(政府信息公开、办事公开)和政务服务体系建设。承担县政务公开领导小组办公室日常工作;拟订全县政务公开、政务服务工作发展规划和年度计划，建设和完善相应工作机制;统筹推进、协调监督县直各部门和乡镇的政务公开和政务服务工作。</w:t>
      </w:r>
    </w:p>
    <w:p w14:paraId="13FCC61F">
      <w:pPr>
        <w:pStyle w:val="8"/>
        <w:keepNext w:val="0"/>
        <w:keepLines w:val="0"/>
        <w:pageBreakBefore w:val="0"/>
        <w:widowControl/>
        <w:pBdr>
          <w:top w:val="none" w:color="auto" w:sz="0" w:space="0"/>
          <w:left w:val="none" w:color="auto" w:sz="0" w:space="0"/>
          <w:bottom w:val="none" w:color="auto" w:sz="0" w:space="0"/>
          <w:right w:val="none" w:color="auto" w:sz="0" w:space="0"/>
        </w:pBdr>
        <w:shd w:val="clear" w:color="060000" w:fill="FFFFFF"/>
        <w:kinsoku/>
        <w:overflowPunct/>
        <w:topLinePunct w:val="0"/>
        <w:autoSpaceDE/>
        <w:autoSpaceDN/>
        <w:bidi w:val="0"/>
        <w:spacing w:before="0" w:beforeAutospacing="0" w:after="0" w:afterAutospacing="0" w:line="360" w:lineRule="auto"/>
        <w:ind w:left="0" w:right="0" w:firstLine="640" w:firstLineChars="200"/>
        <w:jc w:val="both"/>
        <w:textAlignment w:val="center"/>
        <w:rPr>
          <w:rFonts w:hint="eastAsia" w:ascii="仿宋" w:hAnsi="仿宋" w:eastAsia="仿宋" w:cs="仿宋"/>
          <w:b w:val="0"/>
          <w:bCs/>
          <w:kern w:val="0"/>
          <w:sz w:val="32"/>
          <w:szCs w:val="32"/>
          <w:lang w:val="en-US" w:eastAsia="zh-CN" w:bidi="ar-SA"/>
        </w:rPr>
      </w:pPr>
      <w:r>
        <w:rPr>
          <w:rFonts w:hint="eastAsia" w:ascii="仿宋" w:hAnsi="仿宋" w:eastAsia="仿宋" w:cs="仿宋"/>
          <w:b w:val="0"/>
          <w:bCs/>
          <w:kern w:val="0"/>
          <w:sz w:val="32"/>
          <w:szCs w:val="32"/>
          <w:lang w:val="en-US" w:eastAsia="zh-CN" w:bidi="ar-SA"/>
        </w:rPr>
        <w:t>2、指导、协调、推进全县行政审批制度改革工作。承担县行政审批制度改革工作领导小组办公室的日常工作;拟订行政审批服务有关规章制度及管理办法并组织监督实施;牵头负责全县放管服改革工作。</w:t>
      </w:r>
    </w:p>
    <w:p w14:paraId="05C175A0">
      <w:pPr>
        <w:pStyle w:val="8"/>
        <w:keepNext w:val="0"/>
        <w:keepLines w:val="0"/>
        <w:pageBreakBefore w:val="0"/>
        <w:widowControl/>
        <w:pBdr>
          <w:top w:val="none" w:color="auto" w:sz="0" w:space="0"/>
          <w:left w:val="none" w:color="auto" w:sz="0" w:space="0"/>
          <w:bottom w:val="none" w:color="auto" w:sz="0" w:space="0"/>
          <w:right w:val="none" w:color="auto" w:sz="0" w:space="0"/>
        </w:pBdr>
        <w:shd w:val="clear" w:color="060000" w:fill="FFFFFF"/>
        <w:kinsoku/>
        <w:overflowPunct/>
        <w:topLinePunct w:val="0"/>
        <w:autoSpaceDE/>
        <w:autoSpaceDN/>
        <w:bidi w:val="0"/>
        <w:spacing w:before="0" w:beforeAutospacing="0" w:after="0" w:afterAutospacing="0" w:line="360" w:lineRule="auto"/>
        <w:ind w:left="0" w:right="0" w:firstLine="640" w:firstLineChars="200"/>
        <w:jc w:val="both"/>
        <w:textAlignment w:val="center"/>
        <w:rPr>
          <w:rFonts w:hint="eastAsia" w:ascii="仿宋" w:hAnsi="仿宋" w:eastAsia="仿宋" w:cs="仿宋"/>
          <w:b w:val="0"/>
          <w:bCs/>
          <w:kern w:val="0"/>
          <w:sz w:val="32"/>
          <w:szCs w:val="32"/>
          <w:lang w:val="en-US" w:eastAsia="zh-CN" w:bidi="ar-SA"/>
        </w:rPr>
      </w:pPr>
      <w:r>
        <w:rPr>
          <w:rFonts w:hint="eastAsia" w:ascii="仿宋" w:hAnsi="仿宋" w:eastAsia="仿宋" w:cs="仿宋"/>
          <w:b w:val="0"/>
          <w:bCs/>
          <w:kern w:val="0"/>
          <w:sz w:val="32"/>
          <w:szCs w:val="32"/>
          <w:lang w:val="en-US" w:eastAsia="zh-CN" w:bidi="ar-SA"/>
        </w:rPr>
        <w:t>3、统筹协调、规划指导、监督评估全县电子政务等工作;统筹推进、协调监督全县“互联网+政务服务”工作;统筹规划监督考核全县电子政务网和政府系统网站。</w:t>
      </w:r>
    </w:p>
    <w:p w14:paraId="521826CD">
      <w:pPr>
        <w:pStyle w:val="8"/>
        <w:keepNext w:val="0"/>
        <w:keepLines w:val="0"/>
        <w:pageBreakBefore w:val="0"/>
        <w:widowControl/>
        <w:pBdr>
          <w:top w:val="none" w:color="auto" w:sz="0" w:space="0"/>
          <w:left w:val="none" w:color="auto" w:sz="0" w:space="0"/>
          <w:bottom w:val="none" w:color="auto" w:sz="0" w:space="0"/>
          <w:right w:val="none" w:color="auto" w:sz="0" w:space="0"/>
        </w:pBdr>
        <w:shd w:val="clear" w:color="060000" w:fill="FFFFFF"/>
        <w:kinsoku/>
        <w:overflowPunct/>
        <w:topLinePunct w:val="0"/>
        <w:autoSpaceDE/>
        <w:autoSpaceDN/>
        <w:bidi w:val="0"/>
        <w:spacing w:before="0" w:beforeAutospacing="0" w:after="0" w:afterAutospacing="0" w:line="360" w:lineRule="auto"/>
        <w:ind w:left="0" w:right="0" w:firstLine="640" w:firstLineChars="200"/>
        <w:jc w:val="both"/>
        <w:textAlignment w:val="center"/>
        <w:rPr>
          <w:rFonts w:hint="eastAsia" w:ascii="仿宋" w:hAnsi="仿宋" w:eastAsia="仿宋" w:cs="仿宋"/>
          <w:b w:val="0"/>
          <w:bCs/>
          <w:kern w:val="0"/>
          <w:sz w:val="32"/>
          <w:szCs w:val="32"/>
          <w:lang w:val="en-US" w:eastAsia="zh-CN" w:bidi="ar-SA"/>
        </w:rPr>
      </w:pPr>
      <w:r>
        <w:rPr>
          <w:rFonts w:hint="eastAsia" w:ascii="仿宋" w:hAnsi="仿宋" w:eastAsia="仿宋" w:cs="仿宋"/>
          <w:b w:val="0"/>
          <w:bCs/>
          <w:kern w:val="0"/>
          <w:sz w:val="32"/>
          <w:szCs w:val="32"/>
          <w:lang w:val="en-US" w:eastAsia="zh-CN" w:bidi="ar-SA"/>
        </w:rPr>
        <w:t>4、统筹协调、规划指导、监督评估全县政务信息化、大数据建设管理和应用等工作;组织协调推进政务数据资源共享和开放工作，统筹政务数据资源的采集、分类、管理、分析和应用工作。</w:t>
      </w:r>
    </w:p>
    <w:p w14:paraId="548FC5DD">
      <w:pPr>
        <w:pStyle w:val="8"/>
        <w:keepNext w:val="0"/>
        <w:keepLines w:val="0"/>
        <w:pageBreakBefore w:val="0"/>
        <w:widowControl/>
        <w:pBdr>
          <w:top w:val="none" w:color="auto" w:sz="0" w:space="0"/>
          <w:left w:val="none" w:color="auto" w:sz="0" w:space="0"/>
          <w:bottom w:val="none" w:color="auto" w:sz="0" w:space="0"/>
          <w:right w:val="none" w:color="auto" w:sz="0" w:space="0"/>
        </w:pBdr>
        <w:shd w:val="clear" w:color="060000" w:fill="FFFFFF"/>
        <w:kinsoku/>
        <w:overflowPunct/>
        <w:topLinePunct w:val="0"/>
        <w:autoSpaceDE/>
        <w:autoSpaceDN/>
        <w:bidi w:val="0"/>
        <w:spacing w:before="0" w:beforeAutospacing="0" w:after="0" w:afterAutospacing="0" w:line="360" w:lineRule="auto"/>
        <w:ind w:left="0" w:right="0" w:firstLine="640" w:firstLineChars="200"/>
        <w:jc w:val="both"/>
        <w:textAlignment w:val="center"/>
        <w:rPr>
          <w:rFonts w:hint="eastAsia" w:ascii="仿宋" w:hAnsi="仿宋" w:eastAsia="仿宋" w:cs="仿宋"/>
          <w:b w:val="0"/>
          <w:bCs/>
          <w:kern w:val="0"/>
          <w:sz w:val="32"/>
          <w:szCs w:val="32"/>
          <w:lang w:val="en-US" w:eastAsia="zh-CN" w:bidi="ar-SA"/>
        </w:rPr>
      </w:pPr>
      <w:r>
        <w:rPr>
          <w:rFonts w:hint="eastAsia" w:ascii="仿宋" w:hAnsi="仿宋" w:eastAsia="仿宋" w:cs="仿宋"/>
          <w:b w:val="0"/>
          <w:bCs/>
          <w:kern w:val="0"/>
          <w:sz w:val="32"/>
          <w:szCs w:val="32"/>
          <w:lang w:val="en-US" w:eastAsia="zh-CN" w:bidi="ar-SA"/>
        </w:rPr>
        <w:t>5、承担县优化经济发展环境领导小组办公室的日常工作。负责全县优化营商环境工作的组织实施和监督、检查、考核;维护营商政务、法制、商务、信用等环境;协调推进全县行政效能工作。</w:t>
      </w:r>
    </w:p>
    <w:p w14:paraId="49A958E5">
      <w:pPr>
        <w:pStyle w:val="8"/>
        <w:keepNext w:val="0"/>
        <w:keepLines w:val="0"/>
        <w:pageBreakBefore w:val="0"/>
        <w:widowControl/>
        <w:pBdr>
          <w:top w:val="none" w:color="auto" w:sz="0" w:space="0"/>
          <w:left w:val="none" w:color="auto" w:sz="0" w:space="0"/>
          <w:bottom w:val="none" w:color="auto" w:sz="0" w:space="0"/>
          <w:right w:val="none" w:color="auto" w:sz="0" w:space="0"/>
        </w:pBdr>
        <w:shd w:val="clear" w:color="060000" w:fill="FFFFFF"/>
        <w:kinsoku/>
        <w:overflowPunct/>
        <w:topLinePunct w:val="0"/>
        <w:autoSpaceDE/>
        <w:autoSpaceDN/>
        <w:bidi w:val="0"/>
        <w:spacing w:before="0" w:beforeAutospacing="0" w:after="0" w:afterAutospacing="0" w:line="360" w:lineRule="auto"/>
        <w:ind w:left="0" w:right="0" w:firstLine="640" w:firstLineChars="200"/>
        <w:jc w:val="both"/>
        <w:textAlignment w:val="center"/>
        <w:rPr>
          <w:rFonts w:hint="eastAsia" w:ascii="仿宋" w:hAnsi="仿宋" w:eastAsia="仿宋" w:cs="仿宋"/>
          <w:b w:val="0"/>
          <w:bCs/>
          <w:kern w:val="0"/>
          <w:sz w:val="32"/>
          <w:szCs w:val="32"/>
          <w:lang w:val="en-US" w:eastAsia="zh-CN" w:bidi="ar-SA"/>
        </w:rPr>
      </w:pPr>
      <w:r>
        <w:rPr>
          <w:rFonts w:hint="eastAsia" w:ascii="仿宋" w:hAnsi="仿宋" w:eastAsia="仿宋" w:cs="仿宋"/>
          <w:b w:val="0"/>
          <w:bCs/>
          <w:kern w:val="0"/>
          <w:sz w:val="32"/>
          <w:szCs w:val="32"/>
          <w:lang w:val="en-US" w:eastAsia="zh-CN" w:bidi="ar-SA"/>
        </w:rPr>
        <w:t>6、组织协调、监督推进全县有关国家、省、市社会信用体系建设的法律法规、决策部署的贯彻落实。拟订并组织实施全县社会信用体系建设总体规划、标准意见和政策措施;统筹推进统一的信用信息平台建设，促进信用信息资源的整合与运用，协调社会信用体系建设的重大问题;拟订守信联合激励和失信联合惩戒制度，牵头组织对重点领域和严重失信行为实施联合惩戒。</w:t>
      </w:r>
    </w:p>
    <w:p w14:paraId="5F83F77E">
      <w:pPr>
        <w:pStyle w:val="8"/>
        <w:keepNext w:val="0"/>
        <w:keepLines w:val="0"/>
        <w:pageBreakBefore w:val="0"/>
        <w:widowControl/>
        <w:pBdr>
          <w:top w:val="none" w:color="auto" w:sz="0" w:space="0"/>
          <w:left w:val="none" w:color="auto" w:sz="0" w:space="0"/>
          <w:bottom w:val="none" w:color="auto" w:sz="0" w:space="0"/>
          <w:right w:val="none" w:color="auto" w:sz="0" w:space="0"/>
        </w:pBdr>
        <w:shd w:val="clear" w:color="060000" w:fill="FFFFFF"/>
        <w:kinsoku/>
        <w:overflowPunct/>
        <w:topLinePunct w:val="0"/>
        <w:autoSpaceDE/>
        <w:autoSpaceDN/>
        <w:bidi w:val="0"/>
        <w:spacing w:before="0" w:beforeAutospacing="0" w:after="0" w:afterAutospacing="0" w:line="360" w:lineRule="auto"/>
        <w:ind w:left="0" w:right="0" w:firstLine="640" w:firstLineChars="200"/>
        <w:jc w:val="both"/>
        <w:textAlignment w:val="center"/>
        <w:rPr>
          <w:rFonts w:hint="eastAsia" w:ascii="仿宋" w:hAnsi="仿宋" w:eastAsia="仿宋" w:cs="仿宋"/>
          <w:b w:val="0"/>
          <w:bCs/>
          <w:kern w:val="0"/>
          <w:sz w:val="32"/>
          <w:szCs w:val="32"/>
          <w:lang w:val="en-US" w:eastAsia="zh-CN" w:bidi="ar-SA"/>
        </w:rPr>
      </w:pPr>
      <w:r>
        <w:rPr>
          <w:rFonts w:hint="eastAsia" w:ascii="仿宋" w:hAnsi="仿宋" w:eastAsia="仿宋" w:cs="仿宋"/>
          <w:b w:val="0"/>
          <w:bCs/>
          <w:kern w:val="0"/>
          <w:sz w:val="32"/>
          <w:szCs w:val="32"/>
          <w:lang w:val="en-US" w:eastAsia="zh-CN" w:bidi="ar-SA"/>
        </w:rPr>
        <w:t>7、负责拟订全县政务联动处置和城乡网格化建设管理工作规则;统筹规划、指挥协调、管理督导全县12345公共服务热线、政务联动处置。</w:t>
      </w:r>
    </w:p>
    <w:p w14:paraId="134F83E4">
      <w:pPr>
        <w:keepNext w:val="0"/>
        <w:keepLines w:val="0"/>
        <w:pageBreakBefore w:val="0"/>
        <w:widowControl/>
        <w:kinsoku/>
        <w:wordWrap/>
        <w:overflowPunct/>
        <w:topLinePunct w:val="0"/>
        <w:autoSpaceDE/>
        <w:autoSpaceDN/>
        <w:bidi w:val="0"/>
        <w:snapToGrid w:val="0"/>
        <w:spacing w:beforeAutospacing="0" w:after="0" w:afterAutospacing="0" w:line="360" w:lineRule="auto"/>
        <w:ind w:firstLine="640" w:firstLineChars="200"/>
        <w:textAlignment w:val="center"/>
        <w:rPr>
          <w:rFonts w:hint="eastAsia" w:ascii="仿宋" w:hAnsi="仿宋" w:eastAsia="仿宋" w:cs="仿宋"/>
          <w:color w:val="000000"/>
          <w:kern w:val="0"/>
          <w:sz w:val="32"/>
          <w:szCs w:val="32"/>
          <w:lang w:eastAsia="zh-CN"/>
        </w:rPr>
      </w:pPr>
      <w:r>
        <w:rPr>
          <w:rFonts w:hint="eastAsia" w:ascii="仿宋" w:hAnsi="仿宋" w:eastAsia="仿宋" w:cs="仿宋"/>
          <w:color w:val="000000"/>
          <w:kern w:val="0"/>
          <w:sz w:val="32"/>
          <w:szCs w:val="32"/>
          <w:lang w:eastAsia="zh-CN"/>
        </w:rPr>
        <w:t>8、承办县委、县政府交办的其他事项。</w:t>
      </w:r>
    </w:p>
    <w:p w14:paraId="1C6B7345">
      <w:pPr>
        <w:pStyle w:val="8"/>
        <w:keepNext w:val="0"/>
        <w:keepLines w:val="0"/>
        <w:pageBreakBefore w:val="0"/>
        <w:widowControl/>
        <w:pBdr>
          <w:top w:val="none" w:color="auto" w:sz="0" w:space="0"/>
          <w:left w:val="none" w:color="auto" w:sz="0" w:space="0"/>
          <w:bottom w:val="none" w:color="auto" w:sz="0" w:space="0"/>
          <w:right w:val="none" w:color="auto" w:sz="0" w:space="0"/>
        </w:pBdr>
        <w:shd w:val="clear" w:color="060000" w:fill="FFFFFF"/>
        <w:kinsoku/>
        <w:overflowPunct/>
        <w:topLinePunct w:val="0"/>
        <w:autoSpaceDE/>
        <w:autoSpaceDN/>
        <w:bidi w:val="0"/>
        <w:spacing w:before="0" w:beforeAutospacing="0" w:after="0" w:afterAutospacing="0" w:line="360" w:lineRule="auto"/>
        <w:ind w:left="0" w:right="0" w:firstLine="640" w:firstLineChars="200"/>
        <w:jc w:val="both"/>
        <w:textAlignment w:val="center"/>
        <w:rPr>
          <w:rFonts w:hint="eastAsia" w:ascii="仿宋" w:hAnsi="仿宋" w:eastAsia="仿宋" w:cs="仿宋"/>
          <w:b w:val="0"/>
          <w:bCs/>
          <w:kern w:val="0"/>
          <w:sz w:val="32"/>
          <w:szCs w:val="32"/>
          <w:lang w:val="en-US" w:eastAsia="zh-CN" w:bidi="ar-SA"/>
        </w:rPr>
      </w:pPr>
      <w:r>
        <w:rPr>
          <w:rFonts w:hint="eastAsia" w:ascii="仿宋" w:hAnsi="仿宋" w:eastAsia="仿宋" w:cs="仿宋"/>
          <w:b w:val="0"/>
          <w:bCs/>
          <w:kern w:val="0"/>
          <w:sz w:val="32"/>
          <w:szCs w:val="32"/>
          <w:lang w:val="en-US" w:eastAsia="zh-CN" w:bidi="ar-SA"/>
        </w:rPr>
        <w:t>（二）人员情况。</w:t>
      </w:r>
    </w:p>
    <w:p w14:paraId="0074492C">
      <w:pPr>
        <w:pStyle w:val="8"/>
        <w:keepNext w:val="0"/>
        <w:keepLines w:val="0"/>
        <w:pageBreakBefore w:val="0"/>
        <w:widowControl/>
        <w:pBdr>
          <w:top w:val="none" w:color="auto" w:sz="0" w:space="0"/>
          <w:left w:val="none" w:color="auto" w:sz="0" w:space="0"/>
          <w:bottom w:val="none" w:color="auto" w:sz="0" w:space="0"/>
          <w:right w:val="none" w:color="auto" w:sz="0" w:space="0"/>
        </w:pBdr>
        <w:shd w:val="clear" w:color="060000" w:fill="FFFFFF"/>
        <w:kinsoku/>
        <w:overflowPunct/>
        <w:topLinePunct w:val="0"/>
        <w:autoSpaceDE/>
        <w:autoSpaceDN/>
        <w:bidi w:val="0"/>
        <w:spacing w:before="0" w:beforeAutospacing="0" w:after="0" w:afterAutospacing="0" w:line="360" w:lineRule="auto"/>
        <w:ind w:left="0" w:right="0" w:firstLine="640" w:firstLineChars="200"/>
        <w:jc w:val="both"/>
        <w:textAlignment w:val="center"/>
        <w:rPr>
          <w:rFonts w:hint="eastAsia" w:ascii="仿宋" w:hAnsi="仿宋" w:eastAsia="仿宋" w:cs="仿宋"/>
          <w:b w:val="0"/>
          <w:bCs/>
          <w:kern w:val="0"/>
          <w:sz w:val="32"/>
          <w:szCs w:val="32"/>
          <w:lang w:val="en-US" w:eastAsia="zh-CN" w:bidi="ar-SA"/>
        </w:rPr>
      </w:pPr>
      <w:r>
        <w:rPr>
          <w:rFonts w:hint="eastAsia" w:ascii="仿宋" w:hAnsi="仿宋" w:eastAsia="仿宋" w:cs="仿宋"/>
          <w:b w:val="0"/>
          <w:bCs/>
          <w:kern w:val="0"/>
          <w:sz w:val="32"/>
          <w:szCs w:val="32"/>
          <w:lang w:val="en-US" w:eastAsia="zh-CN" w:bidi="ar-SA"/>
        </w:rPr>
        <w:t>核定人员编制49人，实有在职在编人数49人，退休人员3人，公车改革后，现有车辆编制0台。</w:t>
      </w:r>
    </w:p>
    <w:p w14:paraId="714218B7">
      <w:pPr>
        <w:pStyle w:val="8"/>
        <w:keepNext w:val="0"/>
        <w:keepLines w:val="0"/>
        <w:pageBreakBefore w:val="0"/>
        <w:widowControl/>
        <w:pBdr>
          <w:top w:val="none" w:color="auto" w:sz="0" w:space="0"/>
          <w:left w:val="none" w:color="auto" w:sz="0" w:space="0"/>
          <w:bottom w:val="none" w:color="auto" w:sz="0" w:space="0"/>
          <w:right w:val="none" w:color="auto" w:sz="0" w:space="0"/>
        </w:pBdr>
        <w:shd w:val="clear" w:color="060000" w:fill="FFFFFF"/>
        <w:kinsoku/>
        <w:overflowPunct/>
        <w:topLinePunct w:val="0"/>
        <w:autoSpaceDE/>
        <w:autoSpaceDN/>
        <w:bidi w:val="0"/>
        <w:spacing w:before="0" w:beforeAutospacing="0" w:after="0" w:afterAutospacing="0" w:line="360" w:lineRule="auto"/>
        <w:ind w:left="0" w:right="0" w:firstLine="640" w:firstLineChars="200"/>
        <w:jc w:val="both"/>
        <w:textAlignment w:val="center"/>
        <w:rPr>
          <w:rFonts w:hint="eastAsia" w:ascii="仿宋" w:hAnsi="仿宋" w:eastAsia="仿宋" w:cs="仿宋"/>
          <w:b/>
          <w:bCs w:val="0"/>
          <w:kern w:val="0"/>
          <w:sz w:val="32"/>
          <w:szCs w:val="32"/>
          <w:lang w:val="en-US" w:eastAsia="zh-CN" w:bidi="ar-SA"/>
        </w:rPr>
      </w:pPr>
      <w:r>
        <w:rPr>
          <w:rFonts w:hint="eastAsia" w:ascii="仿宋" w:hAnsi="仿宋" w:eastAsia="仿宋" w:cs="仿宋"/>
          <w:b/>
          <w:bCs w:val="0"/>
          <w:kern w:val="0"/>
          <w:sz w:val="32"/>
          <w:szCs w:val="32"/>
          <w:lang w:val="en-US" w:eastAsia="zh-CN" w:bidi="ar-SA"/>
        </w:rPr>
        <w:t>二、部门整体收支结余情况</w:t>
      </w:r>
    </w:p>
    <w:p w14:paraId="5CC459A5">
      <w:pPr>
        <w:pStyle w:val="8"/>
        <w:keepNext w:val="0"/>
        <w:keepLines w:val="0"/>
        <w:pageBreakBefore w:val="0"/>
        <w:widowControl/>
        <w:pBdr>
          <w:top w:val="none" w:color="auto" w:sz="0" w:space="0"/>
          <w:left w:val="none" w:color="auto" w:sz="0" w:space="0"/>
          <w:bottom w:val="none" w:color="auto" w:sz="0" w:space="0"/>
          <w:right w:val="none" w:color="auto" w:sz="0" w:space="0"/>
        </w:pBdr>
        <w:shd w:val="clear" w:color="060000" w:fill="FFFFFF"/>
        <w:kinsoku/>
        <w:overflowPunct/>
        <w:topLinePunct w:val="0"/>
        <w:autoSpaceDE/>
        <w:autoSpaceDN/>
        <w:bidi w:val="0"/>
        <w:spacing w:before="0" w:beforeAutospacing="0" w:after="0" w:afterAutospacing="0" w:line="360" w:lineRule="auto"/>
        <w:ind w:left="0" w:right="0" w:firstLine="640" w:firstLineChars="200"/>
        <w:jc w:val="both"/>
        <w:textAlignment w:val="center"/>
        <w:rPr>
          <w:rFonts w:hint="eastAsia" w:ascii="仿宋" w:hAnsi="仿宋" w:eastAsia="仿宋" w:cs="仿宋"/>
          <w:b w:val="0"/>
          <w:bCs/>
          <w:kern w:val="0"/>
          <w:sz w:val="32"/>
          <w:szCs w:val="32"/>
          <w:lang w:val="en-US" w:eastAsia="zh-CN" w:bidi="ar-SA"/>
        </w:rPr>
      </w:pPr>
      <w:r>
        <w:rPr>
          <w:rFonts w:hint="eastAsia" w:ascii="仿宋" w:hAnsi="仿宋" w:eastAsia="仿宋" w:cs="仿宋"/>
          <w:b w:val="0"/>
          <w:bCs/>
          <w:kern w:val="0"/>
          <w:sz w:val="32"/>
          <w:szCs w:val="32"/>
          <w:lang w:val="en-US" w:eastAsia="zh-CN" w:bidi="ar-SA"/>
        </w:rPr>
        <w:t>我单位2025年收到财政资金2064.57万元。其中基本支出870.19万元，项目支出1194.37万元；2025年全年实际支出2064.57万元；结余财政资金0万元。基本支出结余0元，项目支出结余0元。</w:t>
      </w:r>
    </w:p>
    <w:p w14:paraId="385DD68C">
      <w:pPr>
        <w:pStyle w:val="8"/>
        <w:keepNext w:val="0"/>
        <w:keepLines w:val="0"/>
        <w:pageBreakBefore w:val="0"/>
        <w:widowControl/>
        <w:pBdr>
          <w:top w:val="none" w:color="auto" w:sz="0" w:space="0"/>
          <w:left w:val="none" w:color="auto" w:sz="0" w:space="0"/>
          <w:bottom w:val="none" w:color="auto" w:sz="0" w:space="0"/>
          <w:right w:val="none" w:color="auto" w:sz="0" w:space="0"/>
        </w:pBdr>
        <w:shd w:val="clear" w:color="060000" w:fill="FFFFFF"/>
        <w:kinsoku/>
        <w:overflowPunct/>
        <w:topLinePunct w:val="0"/>
        <w:autoSpaceDE/>
        <w:autoSpaceDN/>
        <w:bidi w:val="0"/>
        <w:spacing w:before="0" w:beforeAutospacing="0" w:after="0" w:afterAutospacing="0" w:line="360" w:lineRule="auto"/>
        <w:ind w:left="0" w:right="0" w:firstLine="640" w:firstLineChars="200"/>
        <w:jc w:val="both"/>
        <w:textAlignment w:val="center"/>
        <w:rPr>
          <w:rFonts w:hint="eastAsia" w:ascii="仿宋" w:hAnsi="仿宋" w:eastAsia="仿宋" w:cs="仿宋"/>
          <w:b/>
          <w:bCs w:val="0"/>
          <w:kern w:val="0"/>
          <w:sz w:val="32"/>
          <w:szCs w:val="32"/>
          <w:lang w:val="en-US" w:eastAsia="zh-CN" w:bidi="ar-SA"/>
        </w:rPr>
      </w:pPr>
      <w:r>
        <w:rPr>
          <w:rFonts w:hint="eastAsia" w:ascii="仿宋" w:hAnsi="仿宋" w:eastAsia="仿宋" w:cs="仿宋"/>
          <w:b/>
          <w:bCs w:val="0"/>
          <w:kern w:val="0"/>
          <w:sz w:val="32"/>
          <w:szCs w:val="32"/>
          <w:lang w:val="en-US" w:eastAsia="zh-CN" w:bidi="ar-SA"/>
        </w:rPr>
        <w:t>三、预算执行与管理情况</w:t>
      </w:r>
    </w:p>
    <w:p w14:paraId="1F191278">
      <w:pPr>
        <w:pStyle w:val="8"/>
        <w:keepNext w:val="0"/>
        <w:keepLines w:val="0"/>
        <w:pageBreakBefore w:val="0"/>
        <w:widowControl/>
        <w:pBdr>
          <w:top w:val="none" w:color="auto" w:sz="0" w:space="0"/>
          <w:left w:val="none" w:color="auto" w:sz="0" w:space="0"/>
          <w:bottom w:val="none" w:color="auto" w:sz="0" w:space="0"/>
          <w:right w:val="none" w:color="auto" w:sz="0" w:space="0"/>
        </w:pBdr>
        <w:shd w:val="clear" w:color="060000" w:fill="FFFFFF"/>
        <w:kinsoku/>
        <w:overflowPunct/>
        <w:topLinePunct w:val="0"/>
        <w:autoSpaceDE/>
        <w:autoSpaceDN/>
        <w:bidi w:val="0"/>
        <w:spacing w:before="0" w:beforeAutospacing="0" w:after="0" w:afterAutospacing="0" w:line="360" w:lineRule="auto"/>
        <w:ind w:left="0" w:right="0" w:firstLine="640" w:firstLineChars="200"/>
        <w:jc w:val="both"/>
        <w:textAlignment w:val="center"/>
        <w:rPr>
          <w:rFonts w:hint="eastAsia" w:ascii="仿宋" w:hAnsi="仿宋" w:eastAsia="仿宋" w:cs="仿宋"/>
          <w:b w:val="0"/>
          <w:bCs/>
          <w:kern w:val="0"/>
          <w:sz w:val="32"/>
          <w:szCs w:val="32"/>
          <w:lang w:val="en-US" w:eastAsia="zh-CN" w:bidi="ar-SA"/>
        </w:rPr>
      </w:pPr>
      <w:r>
        <w:rPr>
          <w:rFonts w:hint="eastAsia" w:ascii="仿宋" w:hAnsi="仿宋" w:eastAsia="仿宋" w:cs="仿宋"/>
          <w:b w:val="0"/>
          <w:bCs/>
          <w:kern w:val="0"/>
          <w:sz w:val="32"/>
          <w:szCs w:val="32"/>
          <w:lang w:val="en-US" w:eastAsia="zh-CN" w:bidi="ar-SA"/>
        </w:rPr>
        <w:t>2025年，我单位积极履职，强化管理，较好地完成了年度工作目标。根据部门整体支出绩效评价指标体系，我单位2025年度评价得分为90分。部门整体支出绩效情况如下：</w:t>
      </w:r>
    </w:p>
    <w:p w14:paraId="485D018A">
      <w:pPr>
        <w:pStyle w:val="8"/>
        <w:keepNext w:val="0"/>
        <w:keepLines w:val="0"/>
        <w:pageBreakBefore w:val="0"/>
        <w:widowControl/>
        <w:pBdr>
          <w:top w:val="none" w:color="auto" w:sz="0" w:space="0"/>
          <w:left w:val="none" w:color="auto" w:sz="0" w:space="0"/>
          <w:bottom w:val="none" w:color="auto" w:sz="0" w:space="0"/>
          <w:right w:val="none" w:color="auto" w:sz="0" w:space="0"/>
        </w:pBdr>
        <w:shd w:val="clear" w:color="070000" w:fill="FFFFFF"/>
        <w:kinsoku/>
        <w:wordWrap/>
        <w:overflowPunct/>
        <w:topLinePunct w:val="0"/>
        <w:autoSpaceDE/>
        <w:autoSpaceDN/>
        <w:bidi w:val="0"/>
        <w:snapToGrid w:val="0"/>
        <w:spacing w:before="0" w:beforeAutospacing="0" w:after="0" w:afterAutospacing="0" w:line="360" w:lineRule="auto"/>
        <w:ind w:right="0" w:firstLine="640" w:firstLineChars="200"/>
        <w:jc w:val="both"/>
        <w:textAlignment w:val="center"/>
        <w:rPr>
          <w:rFonts w:hint="eastAsia" w:ascii="仿宋" w:hAnsi="仿宋" w:eastAsia="仿宋" w:cs="仿宋"/>
          <w:b w:val="0"/>
          <w:bCs/>
          <w:kern w:val="0"/>
          <w:sz w:val="32"/>
          <w:szCs w:val="32"/>
          <w:lang w:val="en-US" w:eastAsia="zh-CN" w:bidi="ar-SA"/>
        </w:rPr>
      </w:pPr>
      <w:r>
        <w:rPr>
          <w:rFonts w:hint="eastAsia" w:ascii="仿宋" w:hAnsi="仿宋" w:eastAsia="仿宋" w:cs="仿宋"/>
          <w:b w:val="0"/>
          <w:bCs/>
          <w:kern w:val="0"/>
          <w:sz w:val="32"/>
          <w:szCs w:val="32"/>
          <w:lang w:val="en-US" w:eastAsia="zh-CN" w:bidi="ar-SA"/>
        </w:rPr>
        <w:t>（一）投入10分。</w:t>
      </w:r>
    </w:p>
    <w:p w14:paraId="73B0901B">
      <w:pPr>
        <w:pStyle w:val="8"/>
        <w:keepNext w:val="0"/>
        <w:keepLines w:val="0"/>
        <w:pageBreakBefore w:val="0"/>
        <w:widowControl/>
        <w:pBdr>
          <w:top w:val="none" w:color="auto" w:sz="0" w:space="0"/>
          <w:left w:val="none" w:color="auto" w:sz="0" w:space="0"/>
          <w:bottom w:val="none" w:color="auto" w:sz="0" w:space="0"/>
          <w:right w:val="none" w:color="auto" w:sz="0" w:space="0"/>
        </w:pBdr>
        <w:shd w:val="clear" w:color="060000" w:fill="FFFFFF"/>
        <w:kinsoku/>
        <w:overflowPunct/>
        <w:topLinePunct w:val="0"/>
        <w:autoSpaceDE/>
        <w:autoSpaceDN/>
        <w:bidi w:val="0"/>
        <w:spacing w:before="0" w:beforeAutospacing="0" w:after="0" w:afterAutospacing="0" w:line="360" w:lineRule="auto"/>
        <w:ind w:left="0" w:right="0" w:firstLine="640" w:firstLineChars="200"/>
        <w:jc w:val="both"/>
        <w:textAlignment w:val="center"/>
        <w:rPr>
          <w:rFonts w:hint="eastAsia" w:ascii="仿宋" w:hAnsi="仿宋" w:eastAsia="仿宋" w:cs="仿宋"/>
          <w:b w:val="0"/>
          <w:bCs w:val="0"/>
          <w:kern w:val="0"/>
          <w:sz w:val="32"/>
          <w:szCs w:val="32"/>
          <w:lang w:val="en-US" w:eastAsia="zh-CN" w:bidi="ar-SA"/>
        </w:rPr>
      </w:pPr>
      <w:r>
        <w:rPr>
          <w:rFonts w:hint="eastAsia" w:ascii="仿宋" w:hAnsi="仿宋" w:eastAsia="仿宋" w:cs="仿宋"/>
          <w:b w:val="0"/>
          <w:bCs w:val="0"/>
          <w:kern w:val="0"/>
          <w:sz w:val="32"/>
          <w:szCs w:val="32"/>
          <w:lang w:val="en-US" w:eastAsia="zh-CN" w:bidi="ar-SA"/>
        </w:rPr>
        <w:t>预算配置得10分。其中：在职人员控制率：在职61人/编制73人*100%=86.3%，得5分；“三公”经费预算数无变动，变动率等于0，得5分。</w:t>
      </w:r>
    </w:p>
    <w:p w14:paraId="603A3EAC">
      <w:pPr>
        <w:pStyle w:val="8"/>
        <w:keepNext w:val="0"/>
        <w:keepLines w:val="0"/>
        <w:pageBreakBefore w:val="0"/>
        <w:widowControl/>
        <w:pBdr>
          <w:top w:val="none" w:color="auto" w:sz="0" w:space="0"/>
          <w:left w:val="none" w:color="auto" w:sz="0" w:space="0"/>
          <w:bottom w:val="none" w:color="auto" w:sz="0" w:space="0"/>
          <w:right w:val="none" w:color="auto" w:sz="0" w:space="0"/>
        </w:pBdr>
        <w:shd w:val="clear" w:color="060000" w:fill="FFFFFF"/>
        <w:kinsoku/>
        <w:overflowPunct/>
        <w:topLinePunct w:val="0"/>
        <w:autoSpaceDE/>
        <w:autoSpaceDN/>
        <w:bidi w:val="0"/>
        <w:spacing w:before="0" w:beforeAutospacing="0" w:after="0" w:afterAutospacing="0" w:line="360" w:lineRule="auto"/>
        <w:ind w:left="0" w:right="0" w:firstLine="640" w:firstLineChars="200"/>
        <w:jc w:val="both"/>
        <w:textAlignment w:val="center"/>
        <w:rPr>
          <w:rFonts w:hint="eastAsia" w:ascii="仿宋" w:hAnsi="仿宋" w:eastAsia="仿宋" w:cs="仿宋"/>
          <w:b w:val="0"/>
          <w:bCs w:val="0"/>
          <w:kern w:val="0"/>
          <w:sz w:val="32"/>
          <w:szCs w:val="32"/>
          <w:lang w:val="en-US" w:eastAsia="zh-CN" w:bidi="ar-SA"/>
        </w:rPr>
      </w:pPr>
      <w:r>
        <w:rPr>
          <w:rFonts w:hint="eastAsia" w:ascii="仿宋" w:hAnsi="仿宋" w:eastAsia="仿宋" w:cs="仿宋"/>
          <w:b w:val="0"/>
          <w:bCs w:val="0"/>
          <w:kern w:val="0"/>
          <w:sz w:val="32"/>
          <w:szCs w:val="32"/>
          <w:lang w:val="en-US" w:eastAsia="zh-CN" w:bidi="ar-SA"/>
        </w:rPr>
        <w:t>（二）过程50分。</w:t>
      </w:r>
    </w:p>
    <w:p w14:paraId="2E870DB9">
      <w:pPr>
        <w:pStyle w:val="8"/>
        <w:keepNext w:val="0"/>
        <w:keepLines w:val="0"/>
        <w:pageBreakBefore w:val="0"/>
        <w:widowControl/>
        <w:pBdr>
          <w:top w:val="none" w:color="auto" w:sz="0" w:space="0"/>
          <w:left w:val="none" w:color="auto" w:sz="0" w:space="0"/>
          <w:bottom w:val="none" w:color="auto" w:sz="0" w:space="0"/>
          <w:right w:val="none" w:color="auto" w:sz="0" w:space="0"/>
        </w:pBdr>
        <w:shd w:val="clear" w:color="060000" w:fill="FFFFFF"/>
        <w:kinsoku/>
        <w:overflowPunct/>
        <w:topLinePunct w:val="0"/>
        <w:autoSpaceDE/>
        <w:autoSpaceDN/>
        <w:bidi w:val="0"/>
        <w:spacing w:before="0" w:beforeAutospacing="0" w:after="0" w:afterAutospacing="0" w:line="360" w:lineRule="auto"/>
        <w:ind w:left="0" w:right="0" w:firstLine="640" w:firstLineChars="200"/>
        <w:jc w:val="both"/>
        <w:textAlignment w:val="center"/>
        <w:rPr>
          <w:rFonts w:hint="eastAsia" w:ascii="仿宋" w:hAnsi="仿宋" w:eastAsia="仿宋" w:cs="仿宋"/>
          <w:b w:val="0"/>
          <w:bCs/>
          <w:kern w:val="0"/>
          <w:sz w:val="32"/>
          <w:szCs w:val="32"/>
          <w:lang w:val="en-US" w:eastAsia="zh-CN" w:bidi="ar-SA"/>
        </w:rPr>
      </w:pPr>
      <w:r>
        <w:rPr>
          <w:rFonts w:hint="eastAsia" w:ascii="仿宋" w:hAnsi="仿宋" w:eastAsia="仿宋" w:cs="仿宋"/>
          <w:b w:val="0"/>
          <w:bCs/>
          <w:kern w:val="0"/>
          <w:sz w:val="32"/>
          <w:szCs w:val="32"/>
          <w:lang w:val="en-US" w:eastAsia="zh-CN" w:bidi="ar-SA"/>
        </w:rPr>
        <w:t>1、预算执行得20分。预算完成率100%得5分；预算控制率得5分；无新建楼堂馆所得10分。</w:t>
      </w:r>
    </w:p>
    <w:p w14:paraId="58596D0B">
      <w:pPr>
        <w:pStyle w:val="8"/>
        <w:keepNext w:val="0"/>
        <w:keepLines w:val="0"/>
        <w:pageBreakBefore w:val="0"/>
        <w:widowControl/>
        <w:pBdr>
          <w:top w:val="none" w:color="auto" w:sz="0" w:space="0"/>
          <w:left w:val="none" w:color="auto" w:sz="0" w:space="0"/>
          <w:bottom w:val="none" w:color="auto" w:sz="0" w:space="0"/>
          <w:right w:val="none" w:color="auto" w:sz="0" w:space="0"/>
        </w:pBdr>
        <w:shd w:val="clear" w:color="060000" w:fill="FFFFFF"/>
        <w:kinsoku/>
        <w:overflowPunct/>
        <w:topLinePunct w:val="0"/>
        <w:autoSpaceDE/>
        <w:autoSpaceDN/>
        <w:bidi w:val="0"/>
        <w:spacing w:before="0" w:beforeAutospacing="0" w:after="0" w:afterAutospacing="0" w:line="360" w:lineRule="auto"/>
        <w:ind w:left="0" w:right="0" w:firstLine="640" w:firstLineChars="200"/>
        <w:jc w:val="both"/>
        <w:textAlignment w:val="center"/>
        <w:rPr>
          <w:rFonts w:hint="eastAsia" w:ascii="仿宋" w:hAnsi="仿宋" w:eastAsia="仿宋" w:cs="仿宋"/>
          <w:b w:val="0"/>
          <w:bCs/>
          <w:kern w:val="0"/>
          <w:sz w:val="32"/>
          <w:szCs w:val="32"/>
          <w:lang w:val="en-US" w:eastAsia="zh-CN" w:bidi="ar-SA"/>
        </w:rPr>
      </w:pPr>
      <w:r>
        <w:rPr>
          <w:rFonts w:hint="eastAsia" w:ascii="仿宋" w:hAnsi="仿宋" w:eastAsia="仿宋" w:cs="仿宋"/>
          <w:b w:val="0"/>
          <w:bCs/>
          <w:kern w:val="0"/>
          <w:sz w:val="32"/>
          <w:szCs w:val="32"/>
          <w:lang w:val="en-US" w:eastAsia="zh-CN" w:bidi="ar-SA"/>
        </w:rPr>
        <w:t>2、预算管理得30分。政府采购执行率得6分；管理制度健全有相关财务管理制度等得8分；资金使用符合规定得6分；预决算信息公开按规定内容在规定时限在县政府门户网站公开，基础信息完善，得10分。</w:t>
      </w:r>
    </w:p>
    <w:p w14:paraId="245D2D84">
      <w:pPr>
        <w:pStyle w:val="8"/>
        <w:keepNext w:val="0"/>
        <w:keepLines w:val="0"/>
        <w:pageBreakBefore w:val="0"/>
        <w:widowControl/>
        <w:pBdr>
          <w:top w:val="none" w:color="auto" w:sz="0" w:space="0"/>
          <w:left w:val="none" w:color="auto" w:sz="0" w:space="0"/>
          <w:bottom w:val="none" w:color="auto" w:sz="0" w:space="0"/>
          <w:right w:val="none" w:color="auto" w:sz="0" w:space="0"/>
        </w:pBdr>
        <w:shd w:val="clear" w:color="060000" w:fill="FFFFFF"/>
        <w:kinsoku/>
        <w:overflowPunct/>
        <w:topLinePunct w:val="0"/>
        <w:autoSpaceDE/>
        <w:autoSpaceDN/>
        <w:bidi w:val="0"/>
        <w:spacing w:before="0" w:beforeAutospacing="0" w:after="0" w:afterAutospacing="0" w:line="360" w:lineRule="auto"/>
        <w:ind w:left="0" w:right="0" w:firstLine="640" w:firstLineChars="200"/>
        <w:jc w:val="both"/>
        <w:textAlignment w:val="center"/>
        <w:rPr>
          <w:rFonts w:hint="eastAsia" w:ascii="仿宋" w:hAnsi="仿宋" w:eastAsia="仿宋" w:cs="仿宋"/>
          <w:b w:val="0"/>
          <w:bCs/>
          <w:kern w:val="0"/>
          <w:sz w:val="32"/>
          <w:szCs w:val="32"/>
          <w:lang w:val="en-US" w:eastAsia="zh-CN" w:bidi="ar-SA"/>
        </w:rPr>
      </w:pPr>
      <w:r>
        <w:rPr>
          <w:rFonts w:hint="eastAsia" w:ascii="仿宋" w:hAnsi="仿宋" w:eastAsia="仿宋" w:cs="仿宋"/>
          <w:b w:val="0"/>
          <w:bCs/>
          <w:kern w:val="0"/>
          <w:sz w:val="32"/>
          <w:szCs w:val="32"/>
          <w:lang w:val="en-US" w:eastAsia="zh-CN" w:bidi="ar-SA"/>
        </w:rPr>
        <w:t>3、产出及效率得30分。</w:t>
      </w:r>
    </w:p>
    <w:p w14:paraId="240494D6">
      <w:pPr>
        <w:pStyle w:val="8"/>
        <w:keepNext w:val="0"/>
        <w:keepLines w:val="0"/>
        <w:pageBreakBefore w:val="0"/>
        <w:widowControl/>
        <w:pBdr>
          <w:top w:val="none" w:color="auto" w:sz="0" w:space="0"/>
          <w:left w:val="none" w:color="auto" w:sz="0" w:space="0"/>
          <w:bottom w:val="none" w:color="auto" w:sz="0" w:space="0"/>
          <w:right w:val="none" w:color="auto" w:sz="0" w:space="0"/>
        </w:pBdr>
        <w:shd w:val="clear" w:color="060000" w:fill="FFFFFF"/>
        <w:kinsoku/>
        <w:overflowPunct/>
        <w:topLinePunct w:val="0"/>
        <w:autoSpaceDE/>
        <w:autoSpaceDN/>
        <w:bidi w:val="0"/>
        <w:spacing w:before="0" w:beforeAutospacing="0" w:after="0" w:afterAutospacing="0" w:line="360" w:lineRule="auto"/>
        <w:ind w:left="0" w:right="0" w:firstLine="640" w:firstLineChars="200"/>
        <w:jc w:val="both"/>
        <w:textAlignment w:val="center"/>
        <w:rPr>
          <w:rFonts w:hint="eastAsia" w:ascii="仿宋" w:hAnsi="仿宋" w:eastAsia="仿宋" w:cs="仿宋"/>
          <w:b w:val="0"/>
          <w:bCs/>
          <w:kern w:val="0"/>
          <w:sz w:val="32"/>
          <w:szCs w:val="32"/>
          <w:lang w:val="en-US" w:eastAsia="zh-CN" w:bidi="ar-SA"/>
        </w:rPr>
      </w:pPr>
      <w:r>
        <w:rPr>
          <w:rFonts w:hint="eastAsia" w:ascii="仿宋" w:hAnsi="仿宋" w:eastAsia="仿宋" w:cs="仿宋"/>
          <w:b w:val="0"/>
          <w:bCs/>
          <w:kern w:val="0"/>
          <w:sz w:val="32"/>
          <w:szCs w:val="32"/>
          <w:lang w:val="en-US" w:eastAsia="zh-CN" w:bidi="ar-SA"/>
        </w:rPr>
        <w:t>（1）职责履行得8分。</w:t>
      </w:r>
    </w:p>
    <w:p w14:paraId="55FA4C72">
      <w:pPr>
        <w:pStyle w:val="8"/>
        <w:keepNext w:val="0"/>
        <w:keepLines w:val="0"/>
        <w:pageBreakBefore w:val="0"/>
        <w:widowControl/>
        <w:pBdr>
          <w:top w:val="none" w:color="auto" w:sz="0" w:space="0"/>
          <w:left w:val="none" w:color="auto" w:sz="0" w:space="0"/>
          <w:bottom w:val="none" w:color="auto" w:sz="0" w:space="0"/>
          <w:right w:val="none" w:color="auto" w:sz="0" w:space="0"/>
        </w:pBdr>
        <w:shd w:val="clear" w:color="060000" w:fill="FFFFFF"/>
        <w:kinsoku/>
        <w:overflowPunct/>
        <w:topLinePunct w:val="0"/>
        <w:autoSpaceDE/>
        <w:autoSpaceDN/>
        <w:bidi w:val="0"/>
        <w:spacing w:before="0" w:beforeAutospacing="0" w:after="0" w:afterAutospacing="0" w:line="360" w:lineRule="auto"/>
        <w:ind w:left="0" w:right="0" w:firstLine="640" w:firstLineChars="200"/>
        <w:jc w:val="both"/>
        <w:textAlignment w:val="center"/>
        <w:rPr>
          <w:rFonts w:hint="eastAsia" w:ascii="仿宋" w:hAnsi="仿宋" w:eastAsia="仿宋" w:cs="仿宋"/>
          <w:b w:val="0"/>
          <w:bCs w:val="0"/>
          <w:kern w:val="0"/>
          <w:sz w:val="32"/>
          <w:szCs w:val="32"/>
          <w:lang w:val="en-US" w:eastAsia="zh-CN" w:bidi="ar-SA"/>
        </w:rPr>
      </w:pPr>
      <w:r>
        <w:rPr>
          <w:rFonts w:hint="eastAsia" w:ascii="仿宋" w:hAnsi="仿宋" w:eastAsia="仿宋" w:cs="仿宋"/>
          <w:b w:val="0"/>
          <w:bCs/>
          <w:kern w:val="0"/>
          <w:sz w:val="32"/>
          <w:szCs w:val="32"/>
          <w:lang w:val="en-US" w:eastAsia="zh-CN" w:bidi="ar-SA"/>
        </w:rPr>
        <w:t>职责履行内容：根据部门制定的计划工作任务及内容，考</w:t>
      </w:r>
      <w:r>
        <w:rPr>
          <w:rFonts w:hint="eastAsia" w:ascii="仿宋" w:hAnsi="仿宋" w:eastAsia="仿宋" w:cs="仿宋"/>
          <w:b w:val="0"/>
          <w:bCs w:val="0"/>
          <w:kern w:val="0"/>
          <w:sz w:val="32"/>
          <w:szCs w:val="32"/>
          <w:lang w:val="en-US" w:eastAsia="zh-CN" w:bidi="ar-SA"/>
        </w:rPr>
        <w:t>核实际完成情况及质量情况，情况完成度高，质量较好的得10分。</w:t>
      </w:r>
    </w:p>
    <w:p w14:paraId="2D426C76">
      <w:pPr>
        <w:pStyle w:val="8"/>
        <w:keepNext w:val="0"/>
        <w:keepLines w:val="0"/>
        <w:pageBreakBefore w:val="0"/>
        <w:widowControl/>
        <w:pBdr>
          <w:top w:val="none" w:color="auto" w:sz="0" w:space="0"/>
          <w:left w:val="none" w:color="auto" w:sz="0" w:space="0"/>
          <w:bottom w:val="none" w:color="auto" w:sz="0" w:space="0"/>
          <w:right w:val="none" w:color="auto" w:sz="0" w:space="0"/>
        </w:pBdr>
        <w:shd w:val="clear" w:color="060000" w:fill="FFFFFF"/>
        <w:kinsoku/>
        <w:overflowPunct/>
        <w:topLinePunct w:val="0"/>
        <w:autoSpaceDE/>
        <w:autoSpaceDN/>
        <w:bidi w:val="0"/>
        <w:spacing w:before="0" w:beforeAutospacing="0" w:after="0" w:afterAutospacing="0" w:line="360" w:lineRule="auto"/>
        <w:ind w:left="0" w:right="0" w:firstLine="640" w:firstLineChars="200"/>
        <w:jc w:val="both"/>
        <w:textAlignment w:val="center"/>
        <w:rPr>
          <w:rFonts w:hint="eastAsia" w:ascii="仿宋" w:hAnsi="仿宋" w:eastAsia="仿宋" w:cs="仿宋"/>
          <w:b w:val="0"/>
          <w:bCs w:val="0"/>
          <w:kern w:val="0"/>
          <w:sz w:val="32"/>
          <w:szCs w:val="32"/>
          <w:lang w:val="en-US" w:eastAsia="zh-CN" w:bidi="ar-SA"/>
        </w:rPr>
      </w:pPr>
      <w:r>
        <w:rPr>
          <w:rFonts w:hint="eastAsia" w:ascii="仿宋" w:hAnsi="仿宋" w:eastAsia="仿宋" w:cs="仿宋"/>
          <w:b w:val="0"/>
          <w:bCs w:val="0"/>
          <w:kern w:val="0"/>
          <w:sz w:val="32"/>
          <w:szCs w:val="32"/>
          <w:lang w:val="en-US" w:eastAsia="zh-CN" w:bidi="ar-SA"/>
        </w:rPr>
        <w:t>（2）产出指标内容得7分。</w:t>
      </w:r>
    </w:p>
    <w:p w14:paraId="20A6C988">
      <w:pPr>
        <w:pStyle w:val="8"/>
        <w:keepNext w:val="0"/>
        <w:keepLines w:val="0"/>
        <w:pageBreakBefore w:val="0"/>
        <w:widowControl/>
        <w:pBdr>
          <w:top w:val="none" w:color="auto" w:sz="0" w:space="0"/>
          <w:left w:val="none" w:color="auto" w:sz="0" w:space="0"/>
          <w:bottom w:val="none" w:color="auto" w:sz="0" w:space="0"/>
          <w:right w:val="none" w:color="auto" w:sz="0" w:space="0"/>
        </w:pBdr>
        <w:shd w:val="clear" w:color="060000" w:fill="FFFFFF"/>
        <w:kinsoku/>
        <w:overflowPunct/>
        <w:topLinePunct w:val="0"/>
        <w:autoSpaceDE/>
        <w:autoSpaceDN/>
        <w:bidi w:val="0"/>
        <w:spacing w:before="0" w:beforeAutospacing="0" w:after="0" w:afterAutospacing="0" w:line="360" w:lineRule="auto"/>
        <w:ind w:left="0" w:right="0" w:firstLine="640" w:firstLineChars="200"/>
        <w:jc w:val="both"/>
        <w:textAlignment w:val="center"/>
        <w:rPr>
          <w:rFonts w:hint="eastAsia" w:ascii="仿宋" w:hAnsi="仿宋" w:eastAsia="仿宋" w:cs="仿宋"/>
          <w:b w:val="0"/>
          <w:bCs w:val="0"/>
          <w:kern w:val="0"/>
          <w:sz w:val="32"/>
          <w:szCs w:val="32"/>
          <w:lang w:val="en-US" w:eastAsia="zh-CN" w:bidi="ar-SA"/>
        </w:rPr>
      </w:pPr>
      <w:r>
        <w:rPr>
          <w:rFonts w:hint="eastAsia" w:ascii="仿宋" w:hAnsi="仿宋" w:eastAsia="仿宋" w:cs="仿宋"/>
          <w:b w:val="0"/>
          <w:bCs w:val="0"/>
          <w:kern w:val="0"/>
          <w:sz w:val="32"/>
          <w:szCs w:val="32"/>
          <w:lang w:val="en-US" w:eastAsia="zh-CN" w:bidi="ar-SA"/>
        </w:rPr>
        <w:t>（3）效益指标方面得7分。</w:t>
      </w:r>
    </w:p>
    <w:p w14:paraId="129C6FA5">
      <w:pPr>
        <w:pStyle w:val="8"/>
        <w:keepNext w:val="0"/>
        <w:keepLines w:val="0"/>
        <w:pageBreakBefore w:val="0"/>
        <w:widowControl/>
        <w:pBdr>
          <w:top w:val="none" w:color="auto" w:sz="0" w:space="0"/>
          <w:left w:val="none" w:color="auto" w:sz="0" w:space="0"/>
          <w:bottom w:val="none" w:color="auto" w:sz="0" w:space="0"/>
          <w:right w:val="none" w:color="auto" w:sz="0" w:space="0"/>
        </w:pBdr>
        <w:shd w:val="clear" w:color="060000" w:fill="FFFFFF"/>
        <w:kinsoku/>
        <w:overflowPunct/>
        <w:topLinePunct w:val="0"/>
        <w:autoSpaceDE/>
        <w:autoSpaceDN/>
        <w:bidi w:val="0"/>
        <w:spacing w:before="0" w:beforeAutospacing="0" w:after="0" w:afterAutospacing="0" w:line="360" w:lineRule="auto"/>
        <w:ind w:left="0" w:right="0" w:firstLine="640" w:firstLineChars="200"/>
        <w:jc w:val="both"/>
        <w:textAlignment w:val="center"/>
        <w:rPr>
          <w:rFonts w:hint="eastAsia" w:ascii="仿宋" w:hAnsi="仿宋" w:eastAsia="仿宋" w:cs="仿宋"/>
          <w:b w:val="0"/>
          <w:bCs w:val="0"/>
          <w:kern w:val="0"/>
          <w:sz w:val="32"/>
          <w:szCs w:val="32"/>
          <w:lang w:val="en-US" w:eastAsia="zh-CN" w:bidi="ar-SA"/>
        </w:rPr>
      </w:pPr>
      <w:r>
        <w:rPr>
          <w:rFonts w:hint="eastAsia" w:ascii="仿宋" w:hAnsi="仿宋" w:eastAsia="仿宋" w:cs="仿宋"/>
          <w:b w:val="0"/>
          <w:bCs w:val="0"/>
          <w:kern w:val="0"/>
          <w:sz w:val="32"/>
          <w:szCs w:val="32"/>
          <w:lang w:val="en-US" w:eastAsia="zh-CN" w:bidi="ar-SA"/>
        </w:rPr>
        <w:t>（4）社会公众或服务对象满意度得8分：在年度绩效考核中成绩优异，服务对象满意度需进一步提升。</w:t>
      </w:r>
    </w:p>
    <w:p w14:paraId="1C3A3C72">
      <w:pPr>
        <w:pStyle w:val="8"/>
        <w:keepNext w:val="0"/>
        <w:keepLines w:val="0"/>
        <w:pageBreakBefore w:val="0"/>
        <w:widowControl/>
        <w:pBdr>
          <w:top w:val="none" w:color="auto" w:sz="0" w:space="0"/>
          <w:left w:val="none" w:color="auto" w:sz="0" w:space="0"/>
          <w:bottom w:val="none" w:color="auto" w:sz="0" w:space="0"/>
          <w:right w:val="none" w:color="auto" w:sz="0" w:space="0"/>
        </w:pBdr>
        <w:shd w:val="clear" w:color="060000" w:fill="FFFFFF"/>
        <w:kinsoku/>
        <w:overflowPunct/>
        <w:topLinePunct w:val="0"/>
        <w:autoSpaceDE/>
        <w:autoSpaceDN/>
        <w:bidi w:val="0"/>
        <w:spacing w:before="0" w:beforeAutospacing="0" w:after="0" w:afterAutospacing="0" w:line="360" w:lineRule="auto"/>
        <w:ind w:left="0" w:right="0" w:firstLine="640" w:firstLineChars="200"/>
        <w:jc w:val="both"/>
        <w:textAlignment w:val="center"/>
        <w:rPr>
          <w:rFonts w:hint="eastAsia" w:ascii="仿宋" w:hAnsi="仿宋" w:eastAsia="仿宋" w:cs="仿宋"/>
          <w:b/>
          <w:bCs w:val="0"/>
          <w:kern w:val="0"/>
          <w:sz w:val="32"/>
          <w:szCs w:val="32"/>
          <w:lang w:val="en-US" w:eastAsia="zh-CN" w:bidi="ar-SA"/>
        </w:rPr>
      </w:pPr>
      <w:r>
        <w:rPr>
          <w:rFonts w:hint="eastAsia" w:ascii="仿宋" w:hAnsi="仿宋" w:eastAsia="仿宋" w:cs="仿宋"/>
          <w:b/>
          <w:bCs w:val="0"/>
          <w:kern w:val="0"/>
          <w:sz w:val="32"/>
          <w:szCs w:val="32"/>
          <w:lang w:val="en-US" w:eastAsia="zh-CN" w:bidi="ar-SA"/>
        </w:rPr>
        <w:t>四、绩效情况</w:t>
      </w:r>
    </w:p>
    <w:p w14:paraId="3C80F3D1">
      <w:pPr>
        <w:pStyle w:val="8"/>
        <w:keepNext w:val="0"/>
        <w:keepLines w:val="0"/>
        <w:pageBreakBefore w:val="0"/>
        <w:widowControl/>
        <w:pBdr>
          <w:top w:val="none" w:color="auto" w:sz="0" w:space="0"/>
          <w:left w:val="none" w:color="auto" w:sz="0" w:space="0"/>
          <w:bottom w:val="none" w:color="auto" w:sz="0" w:space="0"/>
          <w:right w:val="none" w:color="auto" w:sz="0" w:space="0"/>
        </w:pBdr>
        <w:shd w:val="clear" w:color="060000" w:fill="FFFFFF"/>
        <w:kinsoku/>
        <w:overflowPunct/>
        <w:topLinePunct w:val="0"/>
        <w:autoSpaceDE/>
        <w:autoSpaceDN/>
        <w:bidi w:val="0"/>
        <w:spacing w:before="0" w:beforeAutospacing="0" w:after="0" w:afterAutospacing="0" w:line="360" w:lineRule="auto"/>
        <w:ind w:left="0" w:right="0" w:firstLine="640" w:firstLineChars="200"/>
        <w:jc w:val="both"/>
        <w:textAlignment w:val="center"/>
        <w:rPr>
          <w:rFonts w:hint="eastAsia" w:ascii="仿宋" w:hAnsi="仿宋" w:eastAsia="仿宋" w:cs="仿宋"/>
          <w:b/>
          <w:bCs w:val="0"/>
          <w:kern w:val="0"/>
          <w:sz w:val="32"/>
          <w:szCs w:val="32"/>
          <w:lang w:val="en-US" w:eastAsia="zh-CN" w:bidi="ar-SA"/>
        </w:rPr>
      </w:pPr>
      <w:r>
        <w:rPr>
          <w:rFonts w:hint="eastAsia" w:ascii="仿宋" w:hAnsi="仿宋" w:eastAsia="仿宋" w:cs="仿宋"/>
          <w:b/>
          <w:bCs w:val="0"/>
          <w:kern w:val="0"/>
          <w:sz w:val="32"/>
          <w:szCs w:val="32"/>
          <w:lang w:val="en-US" w:eastAsia="zh-CN" w:bidi="ar-SA"/>
        </w:rPr>
        <w:t>（一）部门职责履行情况分析。</w:t>
      </w:r>
    </w:p>
    <w:p w14:paraId="2537A57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contextualSpacing w:val="0"/>
        <w:jc w:val="both"/>
        <w:textAlignment w:val="auto"/>
        <w:rPr>
          <w:rFonts w:hint="eastAsia" w:ascii="仿宋" w:hAnsi="仿宋" w:eastAsia="仿宋" w:cs="仿宋"/>
          <w:b w:val="0"/>
          <w:bCs/>
          <w:kern w:val="0"/>
          <w:sz w:val="32"/>
          <w:szCs w:val="32"/>
          <w:lang w:val="en-US" w:eastAsia="zh-CN" w:bidi="ar-SA"/>
        </w:rPr>
      </w:pPr>
      <w:r>
        <w:rPr>
          <w:rFonts w:hint="eastAsia" w:ascii="仿宋" w:hAnsi="仿宋" w:eastAsia="仿宋" w:cs="仿宋"/>
          <w:b w:val="0"/>
          <w:bCs/>
          <w:kern w:val="0"/>
          <w:sz w:val="32"/>
          <w:szCs w:val="32"/>
          <w:lang w:val="en-US" w:eastAsia="zh-CN" w:bidi="ar-SA"/>
        </w:rPr>
        <w:t>1、全面推广“一网通办”应用。目前共收集23个县直单位资料，录入三定职能清单表22张、信息系统清单表260张、职能事项系统数据目录梳理表254张、政务数据目录填报表7292张。在一网通办系统上线发布539个事项，共产生1037</w:t>
      </w:r>
      <w:r>
        <w:rPr>
          <w:rFonts w:hint="eastAsia" w:ascii="仿宋" w:hAnsi="仿宋" w:eastAsia="仿宋" w:cs="仿宋"/>
          <w:b w:val="0"/>
          <w:bCs/>
          <w:kern w:val="0"/>
          <w:sz w:val="32"/>
          <w:szCs w:val="32"/>
          <w:lang w:val="en-US" w:eastAsia="zh-CN" w:bidi="ar-SA"/>
        </w:rPr>
        <w:t>条办件，并开设5个“一网通办”窗口，配置5名工作人员。</w:t>
      </w:r>
    </w:p>
    <w:p w14:paraId="79D94EC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contextualSpacing w:val="0"/>
        <w:jc w:val="both"/>
        <w:textAlignment w:val="auto"/>
        <w:rPr>
          <w:rFonts w:hint="eastAsia" w:ascii="仿宋" w:hAnsi="仿宋" w:eastAsia="仿宋" w:cs="仿宋"/>
          <w:b w:val="0"/>
          <w:bCs/>
          <w:kern w:val="0"/>
          <w:sz w:val="32"/>
          <w:szCs w:val="32"/>
          <w:lang w:val="en-US" w:eastAsia="zh-CN" w:bidi="ar-SA"/>
        </w:rPr>
      </w:pPr>
      <w:r>
        <w:rPr>
          <w:rFonts w:hint="eastAsia" w:ascii="仿宋" w:hAnsi="仿宋" w:eastAsia="仿宋" w:cs="仿宋"/>
          <w:b w:val="0"/>
          <w:bCs/>
          <w:kern w:val="0"/>
          <w:sz w:val="32"/>
          <w:szCs w:val="32"/>
          <w:lang w:val="en-US" w:eastAsia="zh-CN" w:bidi="ar-SA"/>
        </w:rPr>
        <w:t xml:space="preserve">2、扎实开展“高效办成一件事”配置工作。在“一网通办”系统配置完成17个“高效办成一件事”主题套餐，可以为企业群众提供企业变更、企业注销、新生儿出生、残疾人服务、教育入学等“一件事”办事服务。目前办件总量为7541件，第二批8件“高效办成一件事”主题套餐配置和测试中。   </w:t>
      </w:r>
    </w:p>
    <w:p w14:paraId="1514437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contextualSpacing w:val="0"/>
        <w:jc w:val="both"/>
        <w:textAlignment w:val="auto"/>
        <w:rPr>
          <w:rFonts w:hint="eastAsia" w:ascii="仿宋" w:hAnsi="仿宋" w:eastAsia="仿宋" w:cs="仿宋"/>
          <w:b w:val="0"/>
          <w:bCs/>
          <w:kern w:val="0"/>
          <w:sz w:val="32"/>
          <w:szCs w:val="32"/>
          <w:lang w:val="en-US" w:eastAsia="zh-CN" w:bidi="ar-SA"/>
        </w:rPr>
      </w:pPr>
      <w:r>
        <w:rPr>
          <w:rFonts w:hint="eastAsia" w:ascii="仿宋" w:hAnsi="仿宋" w:eastAsia="仿宋" w:cs="仿宋"/>
          <w:b w:val="0"/>
          <w:bCs/>
          <w:kern w:val="0"/>
          <w:sz w:val="32"/>
          <w:szCs w:val="32"/>
          <w:lang w:val="en-US" w:eastAsia="zh-CN" w:bidi="ar-SA"/>
        </w:rPr>
        <w:t>（二）社会经济效益分析。</w:t>
      </w:r>
    </w:p>
    <w:p w14:paraId="1AA4643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contextualSpacing w:val="0"/>
        <w:jc w:val="both"/>
        <w:textAlignment w:val="auto"/>
        <w:rPr>
          <w:rFonts w:hint="eastAsia" w:ascii="仿宋" w:hAnsi="仿宋" w:eastAsia="仿宋" w:cs="仿宋"/>
          <w:b w:val="0"/>
          <w:bCs/>
          <w:kern w:val="0"/>
          <w:sz w:val="32"/>
          <w:szCs w:val="32"/>
          <w:lang w:val="en-US" w:eastAsia="zh-CN" w:bidi="ar-SA"/>
        </w:rPr>
      </w:pPr>
      <w:r>
        <w:rPr>
          <w:rFonts w:hint="eastAsia" w:ascii="仿宋" w:hAnsi="仿宋" w:eastAsia="仿宋" w:cs="仿宋"/>
          <w:b w:val="0"/>
          <w:bCs/>
          <w:kern w:val="0"/>
          <w:sz w:val="32"/>
          <w:szCs w:val="32"/>
          <w:lang w:val="en-US" w:eastAsia="zh-CN" w:bidi="ar-SA"/>
        </w:rPr>
        <w:t>政务公开工作平稳运行。截至12月20日共发布信息6599条，其中政务信息3095条，县直及各乡镇发布信息3504条，政策解读30条，人事和招聘信息41条，基层政务公开专栏441条，政府网站专栏专题维护数11个。县长信箱和咨询投诉共办理有效信件83件，答复率98%，满意率97.5%。开展调查征集6次，共收到160条有效反馈信息。</w:t>
      </w:r>
    </w:p>
    <w:p w14:paraId="57C6330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contextualSpacing w:val="0"/>
        <w:jc w:val="both"/>
        <w:textAlignment w:val="auto"/>
        <w:rPr>
          <w:rFonts w:hint="eastAsia" w:ascii="仿宋" w:hAnsi="仿宋" w:eastAsia="仿宋" w:cs="仿宋"/>
          <w:b w:val="0"/>
          <w:bCs/>
          <w:kern w:val="0"/>
          <w:sz w:val="32"/>
          <w:szCs w:val="32"/>
          <w:lang w:val="en-US" w:eastAsia="zh-CN" w:bidi="ar-SA"/>
        </w:rPr>
      </w:pPr>
      <w:r>
        <w:rPr>
          <w:rFonts w:hint="eastAsia" w:ascii="仿宋" w:hAnsi="仿宋" w:eastAsia="仿宋" w:cs="仿宋"/>
          <w:b w:val="0"/>
          <w:bCs/>
          <w:kern w:val="0"/>
          <w:sz w:val="32"/>
          <w:szCs w:val="32"/>
          <w:lang w:val="en-US" w:eastAsia="zh-CN" w:bidi="ar-SA"/>
        </w:rPr>
        <w:t>有效提高政务联动处置效能。2025年1-10月，共受理各类有效诉求3921件，其中包括永州市12345政务服务便民热线转办工单3678件，其他渠道来源事件243件（其中领导交办41件，市县区长信箱71件，政协云微建议54件，微信上报19件，湘易办政企通17件，永在线12345热线16件，永在线APP 13件、网格员巡查9件，监督服务微信群3件），工单及时处置率99.92 %， 群众满意率96.5%。共发布工作通报6期。</w:t>
      </w:r>
    </w:p>
    <w:p w14:paraId="09EDD7F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contextualSpacing w:val="0"/>
        <w:jc w:val="both"/>
        <w:textAlignment w:val="auto"/>
        <w:rPr>
          <w:rFonts w:hint="eastAsia" w:ascii="仿宋" w:hAnsi="仿宋" w:eastAsia="仿宋" w:cs="仿宋"/>
          <w:b w:val="0"/>
          <w:bCs/>
          <w:kern w:val="0"/>
          <w:sz w:val="32"/>
          <w:szCs w:val="32"/>
          <w:lang w:val="en-US" w:eastAsia="zh-CN" w:bidi="ar-SA"/>
        </w:rPr>
      </w:pPr>
      <w:r>
        <w:rPr>
          <w:rFonts w:hint="eastAsia" w:ascii="仿宋" w:hAnsi="仿宋" w:eastAsia="仿宋" w:cs="仿宋"/>
          <w:b w:val="0"/>
          <w:bCs/>
          <w:kern w:val="0"/>
          <w:sz w:val="32"/>
          <w:szCs w:val="32"/>
          <w:lang w:val="en-US" w:eastAsia="zh-CN" w:bidi="ar-SA"/>
        </w:rPr>
        <w:t>2025年以来，在信用永州平台上报送信用信息642912条，其中：上传“双公示”数据61648条（行政处罚2388条，行政许可59260条），上传五类行政数据5357条，上传其他信用信息551790条，上传各类承诺书24117份，在信用永州平台开展信用运用核查44023次，完成信用修复超过130户。</w:t>
      </w:r>
    </w:p>
    <w:p w14:paraId="43902A9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contextualSpacing w:val="0"/>
        <w:jc w:val="both"/>
        <w:textAlignment w:val="auto"/>
        <w:rPr>
          <w:rFonts w:hint="eastAsia" w:ascii="仿宋" w:hAnsi="仿宋" w:eastAsia="仿宋" w:cs="仿宋"/>
          <w:b w:val="0"/>
          <w:bCs/>
          <w:kern w:val="0"/>
          <w:sz w:val="32"/>
          <w:szCs w:val="32"/>
          <w:lang w:val="en-US" w:eastAsia="zh-CN" w:bidi="ar-SA"/>
        </w:rPr>
      </w:pPr>
      <w:r>
        <w:rPr>
          <w:rFonts w:hint="eastAsia" w:ascii="仿宋" w:hAnsi="仿宋" w:eastAsia="仿宋" w:cs="仿宋"/>
          <w:b w:val="0"/>
          <w:bCs/>
          <w:kern w:val="0"/>
          <w:sz w:val="32"/>
          <w:szCs w:val="32"/>
          <w:lang w:val="en-US" w:eastAsia="zh-CN" w:bidi="ar-SA"/>
        </w:rPr>
        <w:t>（三）行政效能分析。</w:t>
      </w:r>
    </w:p>
    <w:p w14:paraId="5F2E895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contextualSpacing w:val="0"/>
        <w:jc w:val="both"/>
        <w:textAlignment w:val="auto"/>
        <w:rPr>
          <w:rFonts w:hint="eastAsia" w:ascii="仿宋" w:hAnsi="仿宋" w:eastAsia="仿宋" w:cs="仿宋"/>
          <w:b w:val="0"/>
          <w:bCs/>
          <w:kern w:val="0"/>
          <w:sz w:val="32"/>
          <w:szCs w:val="32"/>
          <w:lang w:val="en-US" w:eastAsia="zh-CN" w:bidi="ar-SA"/>
        </w:rPr>
      </w:pPr>
      <w:r>
        <w:rPr>
          <w:rFonts w:hint="eastAsia" w:ascii="仿宋" w:hAnsi="仿宋" w:eastAsia="仿宋" w:cs="仿宋"/>
          <w:b w:val="0"/>
          <w:bCs/>
          <w:kern w:val="0"/>
          <w:sz w:val="32"/>
          <w:szCs w:val="32"/>
          <w:lang w:val="en-US" w:eastAsia="zh-CN" w:bidi="ar-SA"/>
        </w:rPr>
        <w:t>1、加强对省市县财政预算资金管理方面制度的学习和培训，不断提高各职能股室的业务工作能力。及时组织相关人员学习县财政局出台的培训费、会议费、差旅费等的相关制度。</w:t>
      </w:r>
    </w:p>
    <w:p w14:paraId="248BCCD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contextualSpacing w:val="0"/>
        <w:jc w:val="both"/>
        <w:textAlignment w:val="auto"/>
        <w:rPr>
          <w:rFonts w:hint="eastAsia" w:ascii="仿宋" w:hAnsi="仿宋" w:eastAsia="仿宋" w:cs="仿宋"/>
          <w:b w:val="0"/>
          <w:bCs/>
          <w:kern w:val="0"/>
          <w:sz w:val="32"/>
          <w:szCs w:val="32"/>
          <w:lang w:val="en-US" w:eastAsia="zh-CN" w:bidi="ar-SA"/>
        </w:rPr>
      </w:pPr>
      <w:r>
        <w:rPr>
          <w:rFonts w:hint="eastAsia" w:ascii="仿宋" w:hAnsi="仿宋" w:eastAsia="仿宋" w:cs="仿宋"/>
          <w:b w:val="0"/>
          <w:bCs/>
          <w:kern w:val="0"/>
          <w:sz w:val="32"/>
          <w:szCs w:val="32"/>
          <w:lang w:val="en-US" w:eastAsia="zh-CN" w:bidi="ar-SA"/>
        </w:rPr>
        <w:t>2、严格制度执行，特别是“三公”经费的预算控制，严格招待费用审核审批程序，“三公”经费较好地控制在预算范围之内。</w:t>
      </w:r>
    </w:p>
    <w:p w14:paraId="7FD2653A">
      <w:pPr>
        <w:pStyle w:val="8"/>
        <w:keepNext w:val="0"/>
        <w:keepLines w:val="0"/>
        <w:pageBreakBefore w:val="0"/>
        <w:widowControl/>
        <w:pBdr>
          <w:top w:val="none" w:color="auto" w:sz="0" w:space="0"/>
          <w:left w:val="none" w:color="auto" w:sz="0" w:space="0"/>
          <w:bottom w:val="none" w:color="auto" w:sz="0" w:space="0"/>
          <w:right w:val="none" w:color="auto" w:sz="0" w:space="0"/>
        </w:pBdr>
        <w:shd w:val="clear" w:color="060000" w:fill="FFFFFF"/>
        <w:kinsoku/>
        <w:overflowPunct/>
        <w:topLinePunct w:val="0"/>
        <w:autoSpaceDE/>
        <w:autoSpaceDN/>
        <w:bidi w:val="0"/>
        <w:spacing w:before="0" w:beforeAutospacing="0" w:after="0" w:afterAutospacing="0" w:line="360" w:lineRule="auto"/>
        <w:ind w:left="0" w:right="0" w:firstLine="640" w:firstLineChars="200"/>
        <w:jc w:val="both"/>
        <w:textAlignment w:val="center"/>
        <w:rPr>
          <w:rFonts w:hint="eastAsia" w:ascii="仿宋" w:hAnsi="仿宋" w:eastAsia="仿宋" w:cs="仿宋"/>
          <w:b/>
          <w:bCs w:val="0"/>
          <w:kern w:val="0"/>
          <w:sz w:val="32"/>
          <w:szCs w:val="32"/>
          <w:lang w:val="en-US" w:eastAsia="zh-CN" w:bidi="ar-SA"/>
        </w:rPr>
      </w:pPr>
      <w:r>
        <w:rPr>
          <w:rFonts w:hint="eastAsia" w:ascii="仿宋" w:hAnsi="仿宋" w:eastAsia="仿宋" w:cs="仿宋"/>
          <w:b/>
          <w:bCs w:val="0"/>
          <w:kern w:val="0"/>
          <w:sz w:val="32"/>
          <w:szCs w:val="32"/>
          <w:lang w:val="en-US" w:eastAsia="zh-CN" w:bidi="ar-SA"/>
        </w:rPr>
        <w:t>五、存在的问题</w:t>
      </w:r>
    </w:p>
    <w:p w14:paraId="1E509E3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contextualSpacing w:val="0"/>
        <w:jc w:val="both"/>
        <w:textAlignment w:val="auto"/>
        <w:rPr>
          <w:rFonts w:hint="eastAsia" w:ascii="仿宋" w:hAnsi="仿宋" w:eastAsia="仿宋" w:cs="仿宋"/>
          <w:b w:val="0"/>
          <w:bCs/>
          <w:kern w:val="0"/>
          <w:sz w:val="32"/>
          <w:szCs w:val="32"/>
          <w:lang w:val="en-US" w:eastAsia="zh-CN" w:bidi="ar-SA"/>
        </w:rPr>
      </w:pPr>
      <w:r>
        <w:rPr>
          <w:rFonts w:hint="eastAsia" w:ascii="仿宋" w:hAnsi="仿宋" w:eastAsia="仿宋" w:cs="仿宋"/>
          <w:b w:val="0"/>
          <w:bCs/>
          <w:kern w:val="0"/>
          <w:sz w:val="32"/>
          <w:szCs w:val="32"/>
          <w:lang w:val="en-US" w:eastAsia="zh-CN" w:bidi="ar-SA"/>
        </w:rPr>
        <w:t>（一）数据共享难以达到预期。“一网通办”在测试中发现系统兼容上还存在水土不服的情况，实际应用较为困难。例如“建房一件事</w:t>
      </w:r>
      <w:r>
        <w:rPr>
          <w:rFonts w:hint="default" w:ascii="仿宋" w:hAnsi="仿宋" w:eastAsia="仿宋" w:cs="仿宋"/>
          <w:b w:val="0"/>
          <w:bCs/>
          <w:kern w:val="0"/>
          <w:sz w:val="32"/>
          <w:szCs w:val="32"/>
          <w:lang w:val="en-US" w:eastAsia="zh-CN" w:bidi="ar-SA"/>
        </w:rPr>
        <w:t>”</w:t>
      </w:r>
      <w:r>
        <w:rPr>
          <w:rFonts w:hint="eastAsia" w:ascii="仿宋" w:hAnsi="仿宋" w:eastAsia="仿宋" w:cs="仿宋"/>
          <w:b w:val="0"/>
          <w:bCs/>
          <w:kern w:val="0"/>
          <w:sz w:val="32"/>
          <w:szCs w:val="32"/>
          <w:lang w:val="en-US" w:eastAsia="zh-CN" w:bidi="ar-SA"/>
        </w:rPr>
        <w:t>线上线下均能成功受理办件，但受理成功后审批系统未显示待办件，无法进入审批环节，无法办结；残联在一网通办系统中录入的受办分离事项，推送至残联办证系统后因数据不同步导致出现办件超期；在进行道路货物运输终止经营收件时，输入个人的信息后获取许可证号与实际的证号不匹配，且证号输入框无法进行编辑等问题，无形之中制约了平台推广与发展。</w:t>
      </w:r>
    </w:p>
    <w:p w14:paraId="39102B8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contextualSpacing w:val="0"/>
        <w:jc w:val="both"/>
        <w:textAlignment w:val="auto"/>
        <w:rPr>
          <w:rFonts w:hint="eastAsia" w:ascii="仿宋" w:hAnsi="仿宋" w:eastAsia="仿宋" w:cs="仿宋"/>
          <w:b w:val="0"/>
          <w:bCs/>
          <w:kern w:val="0"/>
          <w:sz w:val="32"/>
          <w:szCs w:val="32"/>
          <w:lang w:val="en-US" w:eastAsia="zh-CN" w:bidi="ar-SA"/>
        </w:rPr>
      </w:pPr>
      <w:r>
        <w:rPr>
          <w:rFonts w:hint="eastAsia" w:ascii="仿宋" w:hAnsi="仿宋" w:eastAsia="仿宋" w:cs="仿宋"/>
          <w:b w:val="0"/>
          <w:bCs/>
          <w:kern w:val="0"/>
          <w:sz w:val="32"/>
          <w:szCs w:val="32"/>
          <w:lang w:val="en-US" w:eastAsia="zh-CN" w:bidi="ar-SA"/>
        </w:rPr>
        <w:t>（二）惠企服务不够便民高质。一是部分单位靠前履职责任心不强，对政策解读工作还不够深入，且发布事项质量不高，部分事项整年仅少数企业办理，湘易办“政策兑现”实际运用不足。二是业务熟悉程度不高。今年开展的几项与数据有关的重点工作，均在业务办理上存在不同程度的问题。如县直单位窗口人员变动频繁，“一网通办”系统交接工作</w:t>
      </w:r>
      <w:bookmarkStart w:id="3" w:name="_GoBack"/>
      <w:bookmarkEnd w:id="3"/>
      <w:r>
        <w:rPr>
          <w:rFonts w:hint="eastAsia" w:ascii="仿宋" w:hAnsi="仿宋" w:eastAsia="仿宋" w:cs="仿宋"/>
          <w:b w:val="0"/>
          <w:bCs/>
          <w:kern w:val="0"/>
          <w:sz w:val="32"/>
          <w:szCs w:val="32"/>
          <w:lang w:val="en-US" w:eastAsia="zh-CN" w:bidi="ar-SA"/>
        </w:rPr>
        <w:t>不清晰，新进人员对系统不够熟悉；政务大厅“高效办成一件事”专窗和综合窗口工作人员对办理业务的流程一知半解；各相关单位管理人员对政策兑现事项梳理、“湘易办”APP涉企板块总体情况及“湘易办”事项上线及问题整改、电子证照汇聚、旗舰店建设、营商地图、政策兑现、宣传推广、“十大”应用场景建设等事项不了解，开展工作有难度、业务基础薄弱。</w:t>
      </w:r>
    </w:p>
    <w:p w14:paraId="3A029FE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contextualSpacing w:val="0"/>
        <w:jc w:val="both"/>
        <w:textAlignment w:val="auto"/>
        <w:rPr>
          <w:rFonts w:hint="eastAsia" w:ascii="仿宋" w:hAnsi="仿宋" w:eastAsia="仿宋" w:cs="仿宋"/>
          <w:b w:val="0"/>
          <w:bCs/>
          <w:kern w:val="0"/>
          <w:sz w:val="32"/>
          <w:szCs w:val="32"/>
          <w:lang w:val="en-US" w:eastAsia="zh-CN" w:bidi="ar-SA"/>
        </w:rPr>
      </w:pPr>
      <w:r>
        <w:rPr>
          <w:rFonts w:hint="eastAsia" w:ascii="仿宋" w:hAnsi="仿宋" w:eastAsia="仿宋" w:cs="仿宋"/>
          <w:b w:val="0"/>
          <w:bCs/>
          <w:kern w:val="0"/>
          <w:sz w:val="32"/>
          <w:szCs w:val="32"/>
          <w:lang w:val="en-US" w:eastAsia="zh-CN" w:bidi="ar-SA"/>
        </w:rPr>
        <w:t>（三）营商环境机制亟需完善。部门协同合作不畅通，对企业的服务和管理，涉及经开区、自然资源、环保、税务、市监、财政、科工、银行等部门，由于未建立信息共享长效机制，缺乏对企业其他信息的互联互通，制约了企业的发展及部门的相关工作。部门之间协同监管机制落实不够，难以形成“一处失信，处处受限”的惩戒效应。</w:t>
      </w:r>
    </w:p>
    <w:p w14:paraId="7C88827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contextualSpacing w:val="0"/>
        <w:jc w:val="both"/>
        <w:textAlignment w:val="auto"/>
        <w:rPr>
          <w:rFonts w:hint="eastAsia" w:ascii="仿宋" w:hAnsi="仿宋" w:eastAsia="仿宋" w:cs="仿宋"/>
          <w:b/>
          <w:bCs w:val="0"/>
          <w:kern w:val="0"/>
          <w:sz w:val="32"/>
          <w:szCs w:val="32"/>
          <w:lang w:val="en-US" w:eastAsia="zh-CN" w:bidi="ar-SA"/>
        </w:rPr>
      </w:pPr>
      <w:r>
        <w:rPr>
          <w:rFonts w:hint="eastAsia" w:ascii="仿宋" w:hAnsi="仿宋" w:eastAsia="仿宋" w:cs="仿宋"/>
          <w:b/>
          <w:bCs w:val="0"/>
          <w:kern w:val="0"/>
          <w:sz w:val="32"/>
          <w:szCs w:val="32"/>
          <w:lang w:val="en-US" w:eastAsia="zh-CN" w:bidi="ar-SA"/>
        </w:rPr>
        <w:t>六、后续的工作计划</w:t>
      </w:r>
    </w:p>
    <w:p w14:paraId="738CEE9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contextualSpacing w:val="0"/>
        <w:jc w:val="both"/>
        <w:textAlignment w:val="auto"/>
        <w:rPr>
          <w:rFonts w:hint="eastAsia" w:ascii="仿宋" w:hAnsi="仿宋" w:eastAsia="仿宋" w:cs="仿宋"/>
          <w:b w:val="0"/>
          <w:bCs/>
          <w:kern w:val="0"/>
          <w:sz w:val="32"/>
          <w:szCs w:val="32"/>
          <w:lang w:val="en-US" w:eastAsia="zh-CN" w:bidi="ar-SA"/>
        </w:rPr>
      </w:pPr>
      <w:r>
        <w:rPr>
          <w:rFonts w:hint="eastAsia" w:ascii="仿宋" w:hAnsi="仿宋" w:eastAsia="仿宋" w:cs="仿宋"/>
          <w:b w:val="0"/>
          <w:bCs/>
          <w:kern w:val="0"/>
          <w:sz w:val="32"/>
          <w:szCs w:val="32"/>
          <w:lang w:val="en-US" w:eastAsia="zh-CN" w:bidi="ar-SA"/>
        </w:rPr>
        <w:t>（一）加强财务管理，严格财务审核。在费用报账支付时，按照预算规定的费用项目和用途进行资金使用审核、列报支付、财务核算，杜绝超支现象的发生。</w:t>
      </w:r>
    </w:p>
    <w:p w14:paraId="33A6C2D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contextualSpacing w:val="0"/>
        <w:jc w:val="both"/>
        <w:textAlignment w:val="auto"/>
        <w:rPr>
          <w:rFonts w:hint="eastAsia" w:ascii="仿宋" w:hAnsi="仿宋" w:eastAsia="仿宋" w:cs="仿宋"/>
          <w:b w:val="0"/>
          <w:bCs/>
          <w:kern w:val="0"/>
          <w:sz w:val="32"/>
          <w:szCs w:val="32"/>
          <w:lang w:val="en-US" w:eastAsia="zh-CN" w:bidi="ar-SA"/>
        </w:rPr>
      </w:pPr>
      <w:r>
        <w:rPr>
          <w:rFonts w:hint="eastAsia" w:ascii="仿宋" w:hAnsi="仿宋" w:eastAsia="仿宋" w:cs="仿宋"/>
          <w:b w:val="0"/>
          <w:bCs/>
          <w:kern w:val="0"/>
          <w:sz w:val="32"/>
          <w:szCs w:val="32"/>
          <w:lang w:val="en-US" w:eastAsia="zh-CN" w:bidi="ar-SA"/>
        </w:rPr>
        <w:t>（二）持续抓好“三公”经费控制管理。严格控制“三公”经费的规模和比例，把关“三公”经费支出的审核、审批，杜绝挪用和挤占其他预算资金行为；进一步细化“三公”经费的管理，合理压缩“三公”经费支出。</w:t>
      </w:r>
    </w:p>
    <w:p w14:paraId="7EF6419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contextualSpacing w:val="0"/>
        <w:jc w:val="both"/>
        <w:textAlignment w:val="auto"/>
        <w:rPr>
          <w:rFonts w:hint="eastAsia" w:ascii="仿宋" w:hAnsi="仿宋" w:eastAsia="仿宋" w:cs="仿宋"/>
          <w:b w:val="0"/>
          <w:bCs/>
          <w:kern w:val="0"/>
          <w:sz w:val="32"/>
          <w:szCs w:val="32"/>
          <w:lang w:val="en-US" w:eastAsia="zh-CN" w:bidi="ar-SA"/>
        </w:rPr>
      </w:pPr>
      <w:r>
        <w:rPr>
          <w:rFonts w:hint="eastAsia" w:ascii="仿宋" w:hAnsi="仿宋" w:eastAsia="仿宋" w:cs="仿宋"/>
          <w:b w:val="0"/>
          <w:bCs/>
          <w:kern w:val="0"/>
          <w:sz w:val="32"/>
          <w:szCs w:val="32"/>
          <w:lang w:val="en-US" w:eastAsia="zh-CN" w:bidi="ar-SA"/>
        </w:rPr>
        <w:t>（三）加强项目开展进度的跟踪，开展项目绩效评价，确保项目绩效目标的完成。</w:t>
      </w: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8"/>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楷体_GB2312">
    <w:altName w:val="方正楷体_GBK"/>
    <w:panose1 w:val="02010609030101010101"/>
    <w:charset w:val="86"/>
    <w:family w:val="modern"/>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仿宋_GB2312">
    <w:altName w:val="方正仿宋_GBK"/>
    <w:panose1 w:val="02000000000000000000"/>
    <w:charset w:val="86"/>
    <w:family w:val="auto"/>
    <w:pitch w:val="default"/>
    <w:sig w:usb0="00000000" w:usb1="00000000" w:usb2="00000012" w:usb3="00000000" w:csb0="00040001" w:csb1="00000000"/>
  </w:font>
  <w:font w:name="Helvetica">
    <w:altName w:val="C059"/>
    <w:panose1 w:val="00000000000000000000"/>
    <w:charset w:val="00"/>
    <w:family w:val="auto"/>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MathJax_Vector">
    <w:panose1 w:val="02000603000000000000"/>
    <w:charset w:val="00"/>
    <w:family w:val="auto"/>
    <w:pitch w:val="default"/>
    <w:sig w:usb0="00000001" w:usb1="00000020" w:usb2="00000000" w:usb3="00000000" w:csb0="00000001"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D845DD">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B7C29C">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24ACB6">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367D30">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0A367D30">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14739E3"/>
    <w:multiLevelType w:val="singleLevel"/>
    <w:tmpl w:val="314739E3"/>
    <w:lvl w:ilvl="0" w:tentative="0">
      <w:start w:val="1"/>
      <w:numFmt w:val="chineseCounting"/>
      <w:suff w:val="nothing"/>
      <w:lvlText w:val="%1、"/>
      <w:lvlJc w:val="left"/>
      <w:rPr>
        <w:rFonts w:hint="eastAsia"/>
      </w:rPr>
    </w:lvl>
  </w:abstractNum>
  <w:abstractNum w:abstractNumId="1">
    <w:nsid w:val="32E59479"/>
    <w:multiLevelType w:val="singleLevel"/>
    <w:tmpl w:val="32E59479"/>
    <w:lvl w:ilvl="0" w:tentative="0">
      <w:start w:val="1"/>
      <w:numFmt w:val="decimal"/>
      <w:suff w:val="nothing"/>
      <w:lvlText w:val="%1、"/>
      <w:lvlJc w:val="left"/>
      <w:pPr>
        <w:ind w:left="-1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dlM2ZhYzVlMjYzMGE2MjIwNTUyZjhjMDQ3MTY1NjYifQ=="/>
  </w:docVars>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B06374"/>
    <w:rsid w:val="160D560B"/>
    <w:rsid w:val="1D97DEFF"/>
    <w:rsid w:val="1DFF72E5"/>
    <w:rsid w:val="1EFC6F07"/>
    <w:rsid w:val="2DFD1468"/>
    <w:rsid w:val="2FDF85B8"/>
    <w:rsid w:val="2FFFEE04"/>
    <w:rsid w:val="31164F92"/>
    <w:rsid w:val="331A0588"/>
    <w:rsid w:val="34DF85B0"/>
    <w:rsid w:val="3B8F36BC"/>
    <w:rsid w:val="402D29A8"/>
    <w:rsid w:val="410F6713"/>
    <w:rsid w:val="41A2749B"/>
    <w:rsid w:val="431200E6"/>
    <w:rsid w:val="491FF225"/>
    <w:rsid w:val="4C631C63"/>
    <w:rsid w:val="4FFD214C"/>
    <w:rsid w:val="52080D20"/>
    <w:rsid w:val="5777D4F5"/>
    <w:rsid w:val="59DD8326"/>
    <w:rsid w:val="5DEF592A"/>
    <w:rsid w:val="5FC6BB1E"/>
    <w:rsid w:val="5FF720F1"/>
    <w:rsid w:val="645035CC"/>
    <w:rsid w:val="67FF5C0B"/>
    <w:rsid w:val="6DC23359"/>
    <w:rsid w:val="6EB6686C"/>
    <w:rsid w:val="6EFC0924"/>
    <w:rsid w:val="6FB74722"/>
    <w:rsid w:val="6FEF8B7E"/>
    <w:rsid w:val="71A6591B"/>
    <w:rsid w:val="737D59BA"/>
    <w:rsid w:val="77C37683"/>
    <w:rsid w:val="78A16983"/>
    <w:rsid w:val="79D19834"/>
    <w:rsid w:val="79FF515B"/>
    <w:rsid w:val="7BF549BF"/>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BBF3133"/>
    <w:rsid w:val="DFFE359E"/>
    <w:rsid w:val="DFFE4FFD"/>
    <w:rsid w:val="DFFFEFC6"/>
    <w:rsid w:val="ED7F7EB2"/>
    <w:rsid w:val="EEABED75"/>
    <w:rsid w:val="F56FDF51"/>
    <w:rsid w:val="F6B69F17"/>
    <w:rsid w:val="F77F1D61"/>
    <w:rsid w:val="F7FED3A9"/>
    <w:rsid w:val="F8C9DB26"/>
    <w:rsid w:val="F97E8EAE"/>
    <w:rsid w:val="FB36E1A6"/>
    <w:rsid w:val="FB3BE134"/>
    <w:rsid w:val="FBEF42E9"/>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6"/>
    <w:semiHidden/>
    <w:unhideWhenUsed/>
    <w:qFormat/>
    <w:uiPriority w:val="99"/>
    <w:rPr>
      <w:sz w:val="18"/>
      <w:szCs w:val="18"/>
    </w:rPr>
  </w:style>
  <w:style w:type="paragraph" w:styleId="6">
    <w:name w:val="footer"/>
    <w:basedOn w:val="1"/>
    <w:link w:val="13"/>
    <w:unhideWhenUsed/>
    <w:qFormat/>
    <w:uiPriority w:val="99"/>
    <w:pPr>
      <w:tabs>
        <w:tab w:val="center" w:pos="4153"/>
        <w:tab w:val="right" w:pos="8306"/>
      </w:tabs>
      <w:snapToGrid w:val="0"/>
      <w:jc w:val="left"/>
    </w:pPr>
    <w:rPr>
      <w:sz w:val="18"/>
      <w:szCs w:val="18"/>
    </w:rPr>
  </w:style>
  <w:style w:type="paragraph" w:styleId="7">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0"/>
    <w:pPr>
      <w:spacing w:before="0" w:beforeAutospacing="1" w:after="0" w:afterAutospacing="1"/>
      <w:ind w:left="0" w:right="0"/>
      <w:jc w:val="left"/>
    </w:pPr>
    <w:rPr>
      <w:kern w:val="0"/>
      <w:sz w:val="24"/>
      <w:lang w:val="en-US" w:eastAsia="zh-CN"/>
    </w:rPr>
  </w:style>
  <w:style w:type="character" w:styleId="11">
    <w:name w:val="page number"/>
    <w:basedOn w:val="10"/>
    <w:qFormat/>
    <w:uiPriority w:val="0"/>
  </w:style>
  <w:style w:type="character" w:customStyle="1" w:styleId="12">
    <w:name w:val="页眉 Char"/>
    <w:basedOn w:val="10"/>
    <w:link w:val="7"/>
    <w:qFormat/>
    <w:uiPriority w:val="99"/>
    <w:rPr>
      <w:sz w:val="18"/>
      <w:szCs w:val="18"/>
    </w:rPr>
  </w:style>
  <w:style w:type="character" w:customStyle="1" w:styleId="13">
    <w:name w:val="页脚 Char"/>
    <w:basedOn w:val="10"/>
    <w:link w:val="6"/>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0"/>
    <w:link w:val="5"/>
    <w:semiHidden/>
    <w:qFormat/>
    <w:uiPriority w:val="99"/>
    <w:rPr>
      <w:sz w:val="18"/>
      <w:szCs w:val="18"/>
    </w:rPr>
  </w:style>
  <w:style w:type="character" w:customStyle="1" w:styleId="17">
    <w:name w:val="font01"/>
    <w:basedOn w:val="10"/>
    <w:qFormat/>
    <w:uiPriority w:val="0"/>
    <w:rPr>
      <w:rFonts w:hint="eastAsia" w:ascii="宋体" w:hAnsi="宋体" w:eastAsia="宋体" w:cs="宋体"/>
      <w:color w:val="000000"/>
      <w:sz w:val="22"/>
      <w:szCs w:val="22"/>
      <w:u w:val="none"/>
    </w:rPr>
  </w:style>
  <w:style w:type="character" w:customStyle="1" w:styleId="18">
    <w:name w:val="font21"/>
    <w:basedOn w:val="10"/>
    <w:qFormat/>
    <w:uiPriority w:val="0"/>
    <w:rPr>
      <w:rFonts w:hint="eastAsia" w:ascii="宋体" w:hAnsi="宋体" w:eastAsia="宋体" w:cs="宋体"/>
      <w:color w:val="000000"/>
      <w:sz w:val="24"/>
      <w:szCs w:val="24"/>
      <w:u w:val="none"/>
    </w:rPr>
  </w:style>
  <w:style w:type="character" w:customStyle="1" w:styleId="19">
    <w:name w:val="font11"/>
    <w:basedOn w:val="10"/>
    <w:qFormat/>
    <w:uiPriority w:val="0"/>
    <w:rPr>
      <w:rFonts w:hint="eastAsia" w:ascii="宋体" w:hAnsi="宋体" w:eastAsia="宋体" w:cs="宋体"/>
      <w:color w:val="000000"/>
      <w:sz w:val="24"/>
      <w:szCs w:val="24"/>
      <w:u w:val="none"/>
    </w:rPr>
  </w:style>
  <w:style w:type="paragraph" w:customStyle="1" w:styleId="20">
    <w:name w:val="样式2"/>
    <w:basedOn w:val="1"/>
    <w:qFormat/>
    <w:uiPriority w:val="99"/>
    <w:pPr>
      <w:widowControl/>
      <w:shd w:val="clear" w:color="auto" w:fill="FFFFFF"/>
      <w:spacing w:before="100" w:beforeAutospacing="1" w:after="100" w:afterAutospacing="1"/>
      <w:ind w:left="562"/>
      <w:jc w:val="center"/>
    </w:pPr>
    <w:rPr>
      <w:rFonts w:ascii="宋体"/>
      <w:b/>
      <w:bCs/>
      <w:szCs w:val="21"/>
    </w:rPr>
  </w:style>
  <w:style w:type="paragraph" w:customStyle="1" w:styleId="21">
    <w:name w:val="BodyText1I2"/>
    <w:basedOn w:val="22"/>
    <w:qFormat/>
    <w:uiPriority w:val="0"/>
    <w:pPr>
      <w:spacing w:after="120" w:line="240" w:lineRule="auto"/>
      <w:ind w:left="420" w:leftChars="200" w:firstLine="420" w:firstLineChars="200"/>
      <w:jc w:val="both"/>
    </w:pPr>
  </w:style>
  <w:style w:type="paragraph" w:customStyle="1" w:styleId="22">
    <w:name w:val="BodyTextIndent"/>
    <w:basedOn w:val="1"/>
    <w:qFormat/>
    <w:uiPriority w:val="0"/>
    <w:pPr>
      <w:spacing w:after="120" w:line="240" w:lineRule="auto"/>
      <w:ind w:left="420" w:leftChars="200"/>
      <w:jc w:val="both"/>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33</Pages>
  <Words>2908</Words>
  <Characters>3601</Characters>
  <Lines>69</Lines>
  <Paragraphs>19</Paragraphs>
  <TotalTime>33</TotalTime>
  <ScaleCrop>false</ScaleCrop>
  <LinksUpToDate>false</LinksUpToDate>
  <CharactersWithSpaces>4452</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2025-08-20T02:17:00Z</dcterms:created>
  <dc:creator>李航 null</dc:creator>
  <cp:lastModifiedBy>kylin</cp:lastModifiedBy>
  <cp:lastPrinted>2024-08-10T10:20:00Z</cp:lastPrinted>
  <dcterms:modified xsi:type="dcterms:W3CDTF">2026-09-11T15:33:45Z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925955A4E36C4AB19F527F3375F6FAAA_13</vt:lpwstr>
  </property>
  <property fmtid="{D5CDD505-2E9C-101B-9397-08002B2CF9AE}" pid="4" name="KSOTemplateDocerSaveRecord">
    <vt:lpwstr>eyJoZGlkIjoiZDkwZmE1ZjY1NzBjNTRkZTZiMGFjZDJjZTkxMWYwZGUiLCJ1c2VySWQiOiI3MTIxNDMzNDAifQ==</vt:lpwstr>
  </property>
</Properties>
</file>