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03C0ED">
      <w:pPr>
        <w:pStyle w:val="12"/>
        <w:jc w:val="center"/>
        <w:rPr>
          <w:rFonts w:ascii="Times New Roman" w:hAnsi="Times New Roman" w:cs="Times New Roman"/>
          <w:sz w:val="56"/>
          <w:szCs w:val="56"/>
        </w:rPr>
      </w:pPr>
    </w:p>
    <w:p w14:paraId="7310F221">
      <w:pPr>
        <w:pStyle w:val="12"/>
        <w:jc w:val="center"/>
        <w:rPr>
          <w:rFonts w:ascii="Times New Roman" w:hAnsi="Times New Roman" w:cs="Times New Roman"/>
          <w:sz w:val="84"/>
          <w:szCs w:val="84"/>
        </w:rPr>
      </w:pPr>
    </w:p>
    <w:p w14:paraId="4B0143C3">
      <w:pPr>
        <w:pStyle w:val="12"/>
        <w:jc w:val="center"/>
        <w:rPr>
          <w:rFonts w:ascii="Times New Roman" w:hAnsi="Times New Roman" w:cs="Times New Roman"/>
          <w:sz w:val="84"/>
          <w:szCs w:val="84"/>
        </w:rPr>
      </w:pPr>
    </w:p>
    <w:p w14:paraId="3702597B">
      <w:pPr>
        <w:pStyle w:val="12"/>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202</w:t>
      </w:r>
      <w:r>
        <w:rPr>
          <w:rFonts w:hint="eastAsia" w:ascii="Times New Roman" w:hAnsi="Times New Roman" w:eastAsia="方正小标宋简体" w:cs="Times New Roman"/>
          <w:sz w:val="44"/>
          <w:szCs w:val="44"/>
          <w:lang w:val="en-US" w:eastAsia="zh-CN"/>
        </w:rPr>
        <w:t>5</w:t>
      </w:r>
      <w:r>
        <w:rPr>
          <w:rFonts w:ascii="Times New Roman" w:hAnsi="Times New Roman" w:eastAsia="方正小标宋简体" w:cs="Times New Roman"/>
          <w:sz w:val="44"/>
          <w:szCs w:val="44"/>
        </w:rPr>
        <w:t>年度</w:t>
      </w:r>
    </w:p>
    <w:p w14:paraId="7E83BFB9">
      <w:pPr>
        <w:pStyle w:val="12"/>
        <w:jc w:val="center"/>
        <w:rPr>
          <w:rFonts w:ascii="Times New Roman" w:hAnsi="Times New Roman" w:eastAsia="方正小标宋简体" w:cs="Times New Roman"/>
          <w:sz w:val="44"/>
          <w:szCs w:val="44"/>
        </w:rPr>
      </w:pPr>
      <w:bookmarkStart w:id="3" w:name="_GoBack"/>
      <w:r>
        <w:rPr>
          <w:rFonts w:hint="eastAsia" w:ascii="Times New Roman" w:hAnsi="Times New Roman" w:eastAsia="方正小标宋简体" w:cs="Times New Roman"/>
          <w:sz w:val="44"/>
          <w:szCs w:val="44"/>
          <w:lang w:eastAsia="zh-CN"/>
        </w:rPr>
        <w:t>蓝山县民兵训练基地管理中心</w:t>
      </w:r>
      <w:bookmarkEnd w:id="3"/>
      <w:r>
        <w:rPr>
          <w:rFonts w:ascii="Times New Roman" w:hAnsi="Times New Roman" w:eastAsia="方正小标宋简体" w:cs="Times New Roman"/>
          <w:sz w:val="44"/>
          <w:szCs w:val="44"/>
        </w:rPr>
        <w:t>部门决算</w:t>
      </w:r>
    </w:p>
    <w:p w14:paraId="689B62C9">
      <w:pPr>
        <w:pStyle w:val="12"/>
        <w:jc w:val="center"/>
        <w:rPr>
          <w:rFonts w:ascii="Times New Roman" w:hAnsi="Times New Roman" w:eastAsia="方正小标宋_GBK" w:cs="Times New Roman"/>
          <w:sz w:val="56"/>
          <w:szCs w:val="56"/>
        </w:rPr>
      </w:pPr>
    </w:p>
    <w:p w14:paraId="3BA64024">
      <w:pPr>
        <w:pStyle w:val="12"/>
        <w:jc w:val="center"/>
        <w:rPr>
          <w:rFonts w:ascii="Times New Roman" w:hAnsi="Times New Roman" w:cs="Times New Roman"/>
          <w:sz w:val="56"/>
          <w:szCs w:val="56"/>
        </w:rPr>
      </w:pPr>
    </w:p>
    <w:p w14:paraId="5B1AC408">
      <w:pPr>
        <w:pStyle w:val="12"/>
        <w:rPr>
          <w:rFonts w:ascii="Times New Roman" w:hAnsi="Times New Roman" w:cs="Times New Roman"/>
          <w:sz w:val="56"/>
          <w:szCs w:val="56"/>
        </w:rPr>
      </w:pPr>
    </w:p>
    <w:p w14:paraId="135AD0A2">
      <w:pPr>
        <w:pStyle w:val="12"/>
        <w:jc w:val="center"/>
        <w:rPr>
          <w:rFonts w:ascii="Times New Roman" w:hAnsi="Times New Roman" w:cs="Times New Roman"/>
          <w:sz w:val="32"/>
          <w:szCs w:val="32"/>
        </w:rPr>
      </w:pPr>
    </w:p>
    <w:p w14:paraId="7B626229">
      <w:pPr>
        <w:pStyle w:val="12"/>
        <w:jc w:val="center"/>
        <w:rPr>
          <w:rFonts w:ascii="Times New Roman" w:hAnsi="Times New Roman" w:cs="Times New Roman"/>
          <w:sz w:val="32"/>
          <w:szCs w:val="32"/>
        </w:rPr>
      </w:pPr>
    </w:p>
    <w:p w14:paraId="73526B27">
      <w:pPr>
        <w:pStyle w:val="12"/>
        <w:jc w:val="center"/>
        <w:rPr>
          <w:rFonts w:ascii="Times New Roman" w:hAnsi="Times New Roman" w:cs="Times New Roman"/>
          <w:sz w:val="32"/>
          <w:szCs w:val="32"/>
        </w:rPr>
      </w:pPr>
    </w:p>
    <w:p w14:paraId="52023522">
      <w:pPr>
        <w:pStyle w:val="12"/>
        <w:jc w:val="center"/>
        <w:rPr>
          <w:rFonts w:ascii="Times New Roman" w:hAnsi="Times New Roman" w:cs="Times New Roman"/>
          <w:sz w:val="32"/>
          <w:szCs w:val="32"/>
        </w:rPr>
      </w:pPr>
    </w:p>
    <w:p w14:paraId="5206C488">
      <w:pPr>
        <w:pStyle w:val="12"/>
        <w:jc w:val="center"/>
        <w:rPr>
          <w:rFonts w:ascii="Times New Roman" w:hAnsi="Times New Roman" w:cs="Times New Roman"/>
          <w:sz w:val="32"/>
          <w:szCs w:val="32"/>
        </w:rPr>
      </w:pPr>
    </w:p>
    <w:p w14:paraId="7DF30542">
      <w:pPr>
        <w:pStyle w:val="12"/>
        <w:jc w:val="center"/>
        <w:rPr>
          <w:rFonts w:ascii="Times New Roman" w:hAnsi="Times New Roman" w:cs="Times New Roman"/>
          <w:sz w:val="32"/>
          <w:szCs w:val="32"/>
        </w:rPr>
      </w:pPr>
    </w:p>
    <w:p w14:paraId="1B1E374F">
      <w:pPr>
        <w:pStyle w:val="12"/>
        <w:spacing w:line="600" w:lineRule="exact"/>
        <w:jc w:val="center"/>
        <w:rPr>
          <w:rFonts w:ascii="Times New Roman" w:hAnsi="Times New Roman" w:cs="Times New Roman"/>
          <w:bCs/>
          <w:sz w:val="36"/>
          <w:szCs w:val="28"/>
        </w:rPr>
      </w:pPr>
    </w:p>
    <w:p w14:paraId="2652C5F4">
      <w:pPr>
        <w:pStyle w:val="12"/>
        <w:spacing w:line="600" w:lineRule="exact"/>
        <w:jc w:val="center"/>
        <w:rPr>
          <w:rFonts w:ascii="Times New Roman" w:hAnsi="Times New Roman" w:cs="Times New Roman"/>
          <w:bCs/>
          <w:sz w:val="36"/>
          <w:szCs w:val="28"/>
        </w:rPr>
      </w:pPr>
    </w:p>
    <w:p w14:paraId="4302E954">
      <w:pPr>
        <w:pStyle w:val="12"/>
        <w:spacing w:line="600" w:lineRule="exact"/>
        <w:jc w:val="center"/>
        <w:rPr>
          <w:rFonts w:ascii="Times New Roman" w:hAnsi="Times New Roman" w:cs="Times New Roman"/>
          <w:bCs/>
          <w:sz w:val="36"/>
          <w:szCs w:val="28"/>
        </w:rPr>
      </w:pPr>
    </w:p>
    <w:p w14:paraId="4549B297">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9F4A216">
      <w:pPr>
        <w:pStyle w:val="12"/>
        <w:spacing w:line="600" w:lineRule="exact"/>
        <w:jc w:val="center"/>
        <w:rPr>
          <w:rFonts w:ascii="Times New Roman" w:hAnsi="Times New Roman" w:cs="Times New Roman"/>
          <w:b/>
          <w:sz w:val="36"/>
          <w:szCs w:val="28"/>
        </w:rPr>
      </w:pPr>
    </w:p>
    <w:p w14:paraId="34AD5A42">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民兵训练基地管理中心</w:t>
      </w:r>
      <w:r>
        <w:rPr>
          <w:rFonts w:ascii="Times New Roman" w:hAnsi="Times New Roman" w:cs="Times New Roman"/>
          <w:bCs/>
          <w:sz w:val="32"/>
          <w:szCs w:val="32"/>
        </w:rPr>
        <w:t>单位概况</w:t>
      </w:r>
    </w:p>
    <w:p w14:paraId="30C3288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6ED6096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4277A8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BBE8D1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6B73F1B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5AAD568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4FC422B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7C50B2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AA920C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3E652E00">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284FA9A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3263489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4D119BF">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E62604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1196750">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3E45696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56C57A08">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18C523D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845587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23D40F4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798B09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1036466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617D506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14:paraId="1A5F757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14:paraId="058F3B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14:paraId="67A47FF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14:paraId="5CFCC6D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C0CC4CA">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第四部分 </w:t>
      </w:r>
      <w:r>
        <w:rPr>
          <w:rFonts w:hint="eastAsia" w:ascii="Times New Roman" w:hAnsi="Times New Roman" w:cs="Times New Roman"/>
          <w:bCs/>
          <w:sz w:val="32"/>
          <w:szCs w:val="32"/>
          <w:lang w:eastAsia="zh-CN"/>
        </w:rPr>
        <w:t>附件</w:t>
      </w:r>
    </w:p>
    <w:p w14:paraId="50A009DB">
      <w:pPr>
        <w:pStyle w:val="12"/>
        <w:spacing w:line="600" w:lineRule="exact"/>
        <w:rPr>
          <w:rFonts w:ascii="Times New Roman" w:hAnsi="Times New Roman" w:cs="Times New Roman"/>
          <w:bCs/>
          <w:sz w:val="28"/>
          <w:szCs w:val="28"/>
        </w:rPr>
      </w:pPr>
    </w:p>
    <w:p w14:paraId="34900160">
      <w:pPr>
        <w:jc w:val="center"/>
        <w:rPr>
          <w:rFonts w:ascii="Times New Roman" w:hAnsi="Times New Roman" w:cs="Times New Roman"/>
          <w:sz w:val="72"/>
          <w:szCs w:val="72"/>
        </w:rPr>
      </w:pPr>
    </w:p>
    <w:p w14:paraId="763723C1">
      <w:pPr>
        <w:jc w:val="center"/>
        <w:rPr>
          <w:rFonts w:ascii="Times New Roman" w:hAnsi="Times New Roman" w:cs="Times New Roman"/>
          <w:sz w:val="72"/>
          <w:szCs w:val="72"/>
        </w:rPr>
      </w:pPr>
    </w:p>
    <w:p w14:paraId="484E1F7B">
      <w:pPr>
        <w:jc w:val="center"/>
        <w:rPr>
          <w:rFonts w:ascii="Times New Roman" w:hAnsi="Times New Roman" w:cs="Times New Roman"/>
          <w:sz w:val="72"/>
          <w:szCs w:val="72"/>
        </w:rPr>
      </w:pPr>
    </w:p>
    <w:p w14:paraId="0E12BFD5">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0840C892">
      <w:pPr>
        <w:rPr>
          <w:rFonts w:ascii="Times New Roman" w:hAnsi="Times New Roman" w:eastAsia="方正小标宋_GBK" w:cs="Times New Roman"/>
          <w:sz w:val="72"/>
          <w:szCs w:val="72"/>
        </w:rPr>
      </w:pPr>
    </w:p>
    <w:p w14:paraId="24B3E95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35D5A2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民兵训练基地管理中心单位</w:t>
      </w:r>
      <w:r>
        <w:rPr>
          <w:rFonts w:ascii="Times New Roman" w:hAnsi="Times New Roman" w:eastAsia="方正小标宋_GBK" w:cs="Times New Roman"/>
          <w:sz w:val="52"/>
          <w:szCs w:val="52"/>
        </w:rPr>
        <w:t>概况</w:t>
      </w:r>
    </w:p>
    <w:p w14:paraId="1FF89DF9">
      <w:pPr>
        <w:pStyle w:val="3"/>
        <w:ind w:left="0" w:leftChars="0" w:firstLine="0" w:firstLineChars="0"/>
        <w:rPr>
          <w:rFonts w:ascii="Times New Roman" w:hAnsi="Times New Roman" w:cs="Times New Roman"/>
        </w:rPr>
      </w:pPr>
    </w:p>
    <w:p w14:paraId="46085B6D">
      <w:pPr>
        <w:widowControl/>
        <w:numPr>
          <w:ilvl w:val="0"/>
          <w:numId w:val="1"/>
        </w:numPr>
        <w:spacing w:line="600" w:lineRule="exact"/>
        <w:ind w:firstLine="627" w:firstLineChars="196"/>
        <w:jc w:val="left"/>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单位</w:t>
      </w:r>
      <w:r>
        <w:rPr>
          <w:rFonts w:ascii="Times New Roman" w:hAnsi="Times New Roman" w:eastAsia="黑体" w:cs="Times New Roman"/>
          <w:sz w:val="32"/>
          <w:szCs w:val="32"/>
        </w:rPr>
        <w:t>职责</w:t>
      </w:r>
    </w:p>
    <w:p w14:paraId="20ED6EA1">
      <w:pPr>
        <w:widowControl/>
        <w:numPr>
          <w:ilvl w:val="0"/>
          <w:numId w:val="0"/>
        </w:numPr>
        <w:spacing w:line="600" w:lineRule="exact"/>
        <w:ind w:firstLine="640" w:firstLineChars="200"/>
        <w:jc w:val="left"/>
        <w:rPr>
          <w:rFonts w:hint="eastAsia" w:ascii="仿宋" w:hAnsi="仿宋" w:eastAsia="仿宋" w:cs="仿宋"/>
          <w:b w:val="0"/>
          <w:bCs/>
          <w:sz w:val="32"/>
          <w:szCs w:val="32"/>
        </w:rPr>
      </w:pPr>
      <w:r>
        <w:rPr>
          <w:rFonts w:hint="eastAsia" w:ascii="仿宋" w:hAnsi="仿宋" w:eastAsia="仿宋" w:cs="仿宋"/>
          <w:b w:val="0"/>
          <w:bCs/>
          <w:sz w:val="32"/>
          <w:szCs w:val="32"/>
        </w:rPr>
        <w:t>承担辖区内民兵日常训练组织、训练场地及设施设备维护管理、训练期间人员食宿保障等工作，协助开展国防教育宣传、应急处突训练支援等任务，保障民兵训练工作规范化、常态化开展。</w:t>
      </w:r>
    </w:p>
    <w:p w14:paraId="280754CC">
      <w:pPr>
        <w:widowControl/>
        <w:spacing w:line="600" w:lineRule="exact"/>
        <w:ind w:firstLine="320" w:firstLineChars="1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41B73B52">
      <w:pPr>
        <w:widowControl/>
        <w:numPr>
          <w:ilvl w:val="0"/>
          <w:numId w:val="0"/>
        </w:numPr>
        <w:spacing w:line="600" w:lineRule="exact"/>
        <w:ind w:firstLine="640" w:firstLineChars="200"/>
        <w:jc w:val="left"/>
        <w:rPr>
          <w:rFonts w:hint="eastAsia" w:ascii="仿宋" w:hAnsi="仿宋" w:eastAsia="仿宋" w:cs="仿宋"/>
          <w:b w:val="0"/>
          <w:bCs/>
          <w:sz w:val="32"/>
          <w:szCs w:val="32"/>
          <w:lang w:val="en-US" w:eastAsia="zh-CN"/>
        </w:rPr>
      </w:pPr>
      <w:r>
        <w:rPr>
          <w:rFonts w:ascii="Times New Roman" w:hAnsi="Times New Roman" w:eastAsia="仿宋_GB2312" w:cs="Times New Roman"/>
          <w:bCs/>
          <w:kern w:val="0"/>
          <w:sz w:val="32"/>
          <w:szCs w:val="32"/>
        </w:rPr>
        <w:t>（一）内设机构设置。</w:t>
      </w:r>
      <w:r>
        <w:rPr>
          <w:rFonts w:hint="eastAsia" w:ascii="仿宋" w:hAnsi="仿宋" w:eastAsia="仿宋" w:cs="仿宋"/>
          <w:b w:val="0"/>
          <w:bCs/>
          <w:sz w:val="32"/>
          <w:szCs w:val="32"/>
        </w:rPr>
        <w:t>本中心为</w:t>
      </w:r>
      <w:r>
        <w:rPr>
          <w:rFonts w:hint="eastAsia" w:ascii="仿宋" w:hAnsi="仿宋" w:eastAsia="仿宋" w:cs="仿宋"/>
          <w:b w:val="0"/>
          <w:bCs/>
          <w:sz w:val="32"/>
          <w:szCs w:val="32"/>
          <w:lang w:eastAsia="zh-CN"/>
        </w:rPr>
        <w:t>蓝山县人民政府办公室</w:t>
      </w:r>
      <w:r>
        <w:rPr>
          <w:rFonts w:hint="eastAsia" w:ascii="仿宋" w:hAnsi="仿宋" w:eastAsia="仿宋" w:cs="仿宋"/>
          <w:b w:val="0"/>
          <w:bCs/>
          <w:sz w:val="32"/>
          <w:szCs w:val="32"/>
        </w:rPr>
        <w:t>下属公益一类事业单位，内设3个职能科室，分别为综合管理科（负责行政、人事、财务等日常统筹）、训练保障科（负责训练计划对接、场地设备维护）、后勤服务科（负责人员食宿、物资采购与储备）</w:t>
      </w:r>
      <w:r>
        <w:rPr>
          <w:rFonts w:hint="eastAsia" w:ascii="仿宋" w:hAnsi="仿宋" w:eastAsia="仿宋" w:cs="仿宋"/>
          <w:b w:val="0"/>
          <w:bCs/>
          <w:sz w:val="32"/>
          <w:szCs w:val="32"/>
          <w:lang w:eastAsia="zh-CN"/>
        </w:rPr>
        <w:t>。</w:t>
      </w:r>
    </w:p>
    <w:p w14:paraId="3651B437">
      <w:pPr>
        <w:keepNext w:val="0"/>
        <w:keepLines w:val="0"/>
        <w:pageBreakBefore w:val="0"/>
        <w:kinsoku/>
        <w:wordWrap/>
        <w:overflowPunct/>
        <w:topLinePunct w:val="0"/>
        <w:autoSpaceDE/>
        <w:autoSpaceDN/>
        <w:bidi w:val="0"/>
        <w:adjustRightInd/>
        <w:snapToGrid/>
        <w:spacing w:line="600" w:lineRule="atLeast"/>
        <w:ind w:left="0" w:leftChars="0" w:right="0" w:firstLine="640" w:firstLineChars="200"/>
        <w:jc w:val="both"/>
        <w:textAlignment w:val="auto"/>
        <w:rPr>
          <w:rFonts w:hint="default" w:ascii="Times New Roman" w:hAnsi="Times New Roman" w:eastAsia="仿宋_GB2312" w:cs="Times New Roman"/>
          <w:bCs/>
          <w:spacing w:val="0"/>
          <w:kern w:val="0"/>
          <w:sz w:val="32"/>
          <w:szCs w:val="32"/>
        </w:rPr>
      </w:pPr>
      <w:r>
        <w:rPr>
          <w:rFonts w:ascii="Times New Roman" w:hAnsi="Times New Roman" w:eastAsia="仿宋_GB2312" w:cs="Times New Roman"/>
          <w:bCs/>
          <w:kern w:val="0"/>
          <w:sz w:val="32"/>
          <w:szCs w:val="32"/>
        </w:rPr>
        <w:t>（二）决算单位构成。</w:t>
      </w:r>
      <w:r>
        <w:rPr>
          <w:rFonts w:hint="default" w:ascii="Times New Roman" w:hAnsi="Times New Roman" w:eastAsia="仿宋_GB2312" w:cs="Times New Roman"/>
          <w:spacing w:val="0"/>
          <w:sz w:val="32"/>
          <w:szCs w:val="32"/>
          <w:lang w:eastAsia="zh-CN"/>
        </w:rPr>
        <w:t>蓝山</w:t>
      </w:r>
      <w:r>
        <w:rPr>
          <w:rFonts w:hint="default" w:ascii="Times New Roman" w:hAnsi="Times New Roman" w:eastAsia="仿宋_GB2312" w:cs="Times New Roman"/>
          <w:spacing w:val="0"/>
          <w:sz w:val="32"/>
          <w:szCs w:val="32"/>
        </w:rPr>
        <w:t>县</w:t>
      </w:r>
      <w:r>
        <w:rPr>
          <w:rFonts w:hint="eastAsia" w:ascii="Times New Roman" w:hAnsi="Times New Roman" w:eastAsia="仿宋_GB2312" w:cs="Times New Roman"/>
          <w:spacing w:val="0"/>
          <w:sz w:val="32"/>
          <w:szCs w:val="32"/>
          <w:lang w:eastAsia="zh-CN"/>
        </w:rPr>
        <w:t>民兵训练基地管理中心</w:t>
      </w:r>
      <w:r>
        <w:rPr>
          <w:rFonts w:hint="default" w:ascii="Times New Roman" w:hAnsi="Times New Roman" w:eastAsia="仿宋_GB2312" w:cs="Times New Roman"/>
          <w:bCs/>
          <w:spacing w:val="0"/>
          <w:kern w:val="0"/>
          <w:sz w:val="32"/>
          <w:szCs w:val="32"/>
        </w:rPr>
        <w:t>202</w:t>
      </w:r>
      <w:r>
        <w:rPr>
          <w:rFonts w:hint="eastAsia" w:ascii="Times New Roman" w:hAnsi="Times New Roman" w:eastAsia="仿宋_GB2312" w:cs="Times New Roman"/>
          <w:bCs/>
          <w:spacing w:val="0"/>
          <w:kern w:val="0"/>
          <w:sz w:val="32"/>
          <w:szCs w:val="32"/>
          <w:lang w:val="en-US" w:eastAsia="zh-CN"/>
        </w:rPr>
        <w:t>5</w:t>
      </w:r>
      <w:r>
        <w:rPr>
          <w:rFonts w:hint="default" w:ascii="Times New Roman" w:hAnsi="Times New Roman" w:eastAsia="仿宋_GB2312" w:cs="Times New Roman"/>
          <w:bCs/>
          <w:spacing w:val="0"/>
          <w:kern w:val="0"/>
          <w:sz w:val="32"/>
          <w:szCs w:val="32"/>
        </w:rPr>
        <w:t>年部门决算汇总公开单位构成包括：</w:t>
      </w:r>
      <w:r>
        <w:rPr>
          <w:rFonts w:hint="default" w:ascii="Times New Roman" w:hAnsi="Times New Roman" w:eastAsia="仿宋_GB2312" w:cs="Times New Roman"/>
          <w:spacing w:val="0"/>
          <w:kern w:val="36"/>
          <w:sz w:val="32"/>
          <w:szCs w:val="32"/>
        </w:rPr>
        <w:t>蓝山县</w:t>
      </w:r>
      <w:r>
        <w:rPr>
          <w:rFonts w:hint="eastAsia" w:ascii="Times New Roman" w:hAnsi="Times New Roman" w:eastAsia="仿宋_GB2312" w:cs="Times New Roman"/>
          <w:spacing w:val="0"/>
          <w:kern w:val="36"/>
          <w:sz w:val="32"/>
          <w:szCs w:val="32"/>
          <w:lang w:eastAsia="zh-CN"/>
        </w:rPr>
        <w:t>民兵训练基地管理中心</w:t>
      </w:r>
      <w:r>
        <w:rPr>
          <w:rFonts w:hint="eastAsia" w:eastAsia="仿宋_GB2312" w:cs="Times New Roman"/>
          <w:spacing w:val="0"/>
          <w:kern w:val="36"/>
          <w:sz w:val="32"/>
          <w:szCs w:val="32"/>
          <w:lang w:val="en-US" w:eastAsia="zh-CN"/>
        </w:rPr>
        <w:t>单位</w:t>
      </w:r>
      <w:r>
        <w:rPr>
          <w:rFonts w:hint="default" w:ascii="Times New Roman" w:hAnsi="Times New Roman" w:eastAsia="仿宋_GB2312" w:cs="Times New Roman"/>
          <w:bCs/>
          <w:spacing w:val="0"/>
          <w:kern w:val="0"/>
          <w:sz w:val="32"/>
          <w:szCs w:val="32"/>
        </w:rPr>
        <w:t>本级。</w:t>
      </w:r>
    </w:p>
    <w:p w14:paraId="691616CF">
      <w:pPr>
        <w:jc w:val="left"/>
        <w:rPr>
          <w:rFonts w:ascii="Times New Roman" w:hAnsi="Times New Roman" w:eastAsia="仿宋_GB2312" w:cs="Times New Roman"/>
          <w:sz w:val="28"/>
          <w:szCs w:val="32"/>
        </w:rPr>
      </w:pPr>
    </w:p>
    <w:p w14:paraId="2382F340">
      <w:pPr>
        <w:jc w:val="center"/>
        <w:rPr>
          <w:rFonts w:ascii="Times New Roman" w:hAnsi="Times New Roman" w:eastAsia="黑体" w:cs="Times New Roman"/>
          <w:sz w:val="28"/>
          <w:szCs w:val="28"/>
        </w:rPr>
      </w:pPr>
    </w:p>
    <w:p w14:paraId="6DAAFE53">
      <w:pPr>
        <w:jc w:val="center"/>
        <w:rPr>
          <w:rFonts w:ascii="Times New Roman" w:hAnsi="Times New Roman" w:eastAsia="黑体" w:cs="Times New Roman"/>
          <w:sz w:val="28"/>
          <w:szCs w:val="28"/>
        </w:rPr>
      </w:pPr>
    </w:p>
    <w:p w14:paraId="01CC01CB">
      <w:pPr>
        <w:jc w:val="center"/>
        <w:rPr>
          <w:rFonts w:ascii="Times New Roman" w:hAnsi="Times New Roman" w:eastAsia="黑体" w:cs="Times New Roman"/>
          <w:sz w:val="28"/>
          <w:szCs w:val="28"/>
        </w:rPr>
      </w:pPr>
    </w:p>
    <w:p w14:paraId="61368C92">
      <w:pPr>
        <w:jc w:val="center"/>
        <w:rPr>
          <w:rFonts w:ascii="Times New Roman" w:hAnsi="Times New Roman" w:eastAsia="黑体" w:cs="Times New Roman"/>
          <w:sz w:val="28"/>
          <w:szCs w:val="28"/>
        </w:rPr>
      </w:pPr>
    </w:p>
    <w:p w14:paraId="3BD97BC7">
      <w:pPr>
        <w:jc w:val="center"/>
        <w:rPr>
          <w:rFonts w:ascii="Times New Roman" w:hAnsi="Times New Roman" w:eastAsia="黑体" w:cs="Times New Roman"/>
          <w:sz w:val="28"/>
          <w:szCs w:val="28"/>
        </w:rPr>
      </w:pPr>
    </w:p>
    <w:p w14:paraId="6EA25547">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5A05C41C">
      <w:pPr>
        <w:pStyle w:val="12"/>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13BF10CA">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23EDDBE4">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1F58B18D">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蓝山县民兵训练基地管理中心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8"/>
        <w:tblW w:w="14896" w:type="dxa"/>
        <w:jc w:val="center"/>
        <w:tblLayout w:type="autofit"/>
        <w:tblCellMar>
          <w:top w:w="0" w:type="dxa"/>
          <w:left w:w="108" w:type="dxa"/>
          <w:bottom w:w="0" w:type="dxa"/>
          <w:right w:w="108" w:type="dxa"/>
        </w:tblCellMar>
      </w:tblPr>
      <w:tblGrid>
        <w:gridCol w:w="5236"/>
        <w:gridCol w:w="773"/>
        <w:gridCol w:w="1174"/>
        <w:gridCol w:w="4410"/>
        <w:gridCol w:w="773"/>
        <w:gridCol w:w="2530"/>
      </w:tblGrid>
      <w:tr w14:paraId="6CBCD731">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308C71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5B90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15F7F79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EDA02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A9BD39F">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7CC4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4616D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773312">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21925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7940786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098EC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C83B41">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E6A0F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A028A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1BE8B9">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28EDED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011AC051">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63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8328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3B48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E53836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823F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4B06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87.23</w:t>
            </w:r>
          </w:p>
        </w:tc>
      </w:tr>
      <w:tr w14:paraId="65C98F6A">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D3533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E7130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3474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6CF18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B26B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4FC95">
            <w:pPr>
              <w:jc w:val="right"/>
              <w:rPr>
                <w:rFonts w:ascii="Times New Roman" w:hAnsi="Times New Roman" w:eastAsia="仿宋_GB2312" w:cs="Times New Roman"/>
                <w:color w:val="000000"/>
                <w:sz w:val="22"/>
              </w:rPr>
            </w:pPr>
          </w:p>
        </w:tc>
      </w:tr>
      <w:tr w14:paraId="11AA0795">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E4DC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8AF8B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0123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F8068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438B2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A059">
            <w:pPr>
              <w:jc w:val="right"/>
              <w:rPr>
                <w:rFonts w:ascii="Times New Roman" w:hAnsi="Times New Roman" w:eastAsia="仿宋_GB2312" w:cs="Times New Roman"/>
                <w:color w:val="000000"/>
                <w:sz w:val="22"/>
              </w:rPr>
            </w:pPr>
          </w:p>
        </w:tc>
      </w:tr>
      <w:tr w14:paraId="16780A27">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A5AD1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922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B8CA5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FC63E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EF91C0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92AD1">
            <w:pPr>
              <w:jc w:val="right"/>
              <w:rPr>
                <w:rFonts w:ascii="Times New Roman" w:hAnsi="Times New Roman" w:eastAsia="仿宋_GB2312" w:cs="Times New Roman"/>
                <w:color w:val="000000"/>
                <w:sz w:val="22"/>
              </w:rPr>
            </w:pPr>
          </w:p>
        </w:tc>
      </w:tr>
      <w:tr w14:paraId="0F9E2CB4">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8D77B68">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8F135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31D094">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2D836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3747D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AE7F0">
            <w:pPr>
              <w:jc w:val="right"/>
              <w:rPr>
                <w:rFonts w:ascii="Times New Roman" w:hAnsi="Times New Roman" w:eastAsia="仿宋_GB2312" w:cs="Times New Roman"/>
                <w:color w:val="000000"/>
                <w:sz w:val="22"/>
              </w:rPr>
            </w:pPr>
          </w:p>
        </w:tc>
      </w:tr>
      <w:tr w14:paraId="2DFEB9EE">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E7047A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1C0FE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3DBA6">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2C5BC89">
            <w:pPr>
              <w:widowControl/>
              <w:jc w:val="left"/>
              <w:textAlignment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4"/>
                <w:szCs w:val="24"/>
                <w:lang w:eastAsia="zh-CN"/>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CC996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1FF2A">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　　　3.55</w:t>
            </w:r>
          </w:p>
        </w:tc>
      </w:tr>
      <w:tr w14:paraId="43ADDB5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9EB7359">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2690A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B52C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108A8">
            <w:pPr>
              <w:widowControl/>
              <w:jc w:val="left"/>
              <w:textAlignment w:val="center"/>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EF394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3BFBD">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1.72</w:t>
            </w:r>
          </w:p>
        </w:tc>
      </w:tr>
      <w:tr w14:paraId="263C1818">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EA2CC5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B873AF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62080">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097F1">
            <w:pPr>
              <w:jc w:val="left"/>
              <w:rPr>
                <w:rFonts w:hint="eastAsia" w:ascii="Times New Roman" w:hAnsi="Times New Roman" w:eastAsia="仿宋_GB2312" w:cs="Times New Roman"/>
                <w:color w:val="000000"/>
                <w:sz w:val="22"/>
                <w:lang w:eastAsia="zh-CN"/>
              </w:rPr>
            </w:pPr>
            <w:r>
              <w:rPr>
                <w:rFonts w:hint="eastAsia" w:ascii="Times New Roman" w:hAnsi="Times New Roman" w:eastAsia="仿宋_GB2312" w:cs="Times New Roman"/>
                <w:color w:val="000000"/>
                <w:sz w:val="22"/>
                <w:lang w:eastAsia="zh-CN"/>
              </w:rPr>
              <w:t>十一、城乡社区支出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E678F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F4849">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0.23</w:t>
            </w:r>
          </w:p>
        </w:tc>
      </w:tr>
      <w:tr w14:paraId="3721B69D">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28B31">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E04D1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27D77">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B1AFD">
            <w:pPr>
              <w:jc w:val="both"/>
              <w:rPr>
                <w:rFonts w:hint="eastAsia" w:ascii="Times New Roman" w:hAnsi="Times New Roman" w:eastAsia="仿宋_GB2312" w:cs="Times New Roman"/>
                <w:color w:val="000000"/>
                <w:sz w:val="20"/>
                <w:szCs w:val="20"/>
                <w:lang w:eastAsia="zh-CN"/>
              </w:rPr>
            </w:pPr>
            <w:r>
              <w:rPr>
                <w:rFonts w:hint="eastAsia" w:ascii="Times New Roman" w:hAnsi="Times New Roman" w:eastAsia="仿宋_GB2312" w:cs="Times New Roman"/>
                <w:color w:val="000000"/>
                <w:sz w:val="20"/>
                <w:szCs w:val="20"/>
                <w:lang w:eastAsia="zh-CN"/>
              </w:rPr>
              <w:t>二十三、其他支出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5259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E5FD9">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w:t>
            </w:r>
            <w:r>
              <w:rPr>
                <w:rFonts w:hint="eastAsia" w:ascii="Times New Roman" w:hAnsi="Times New Roman" w:eastAsia="仿宋_GB2312" w:cs="Times New Roman"/>
                <w:b w:val="0"/>
                <w:bCs/>
                <w:color w:val="000000"/>
                <w:sz w:val="22"/>
                <w:lang w:val="en-US" w:eastAsia="zh-CN"/>
              </w:rPr>
              <w:t>1.59</w:t>
            </w:r>
          </w:p>
        </w:tc>
      </w:tr>
      <w:tr w14:paraId="18EA6D2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374D3">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0369E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2A9FC">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94.32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3CE0">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F113AC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AC19F">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　　　　　94.32</w:t>
            </w:r>
          </w:p>
        </w:tc>
      </w:tr>
      <w:tr w14:paraId="3D31BA60">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33AE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FC1BE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7E42">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71F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C4D2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55ED06">
            <w:pPr>
              <w:rPr>
                <w:rFonts w:ascii="Times New Roman" w:hAnsi="Times New Roman" w:eastAsia="仿宋_GB2312" w:cs="Times New Roman"/>
                <w:color w:val="000000"/>
                <w:sz w:val="22"/>
              </w:rPr>
            </w:pPr>
          </w:p>
        </w:tc>
      </w:tr>
      <w:tr w14:paraId="4BE8C0B3">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B75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18938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429E">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AED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6AB64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82C75">
            <w:pPr>
              <w:rPr>
                <w:rFonts w:ascii="Times New Roman" w:hAnsi="Times New Roman" w:eastAsia="仿宋_GB2312" w:cs="Times New Roman"/>
                <w:color w:val="000000"/>
                <w:sz w:val="22"/>
              </w:rPr>
            </w:pPr>
          </w:p>
        </w:tc>
      </w:tr>
      <w:tr w14:paraId="73B07A29">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18AE64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02156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17459">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94.32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A11E5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B3EEAE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B3FB4">
            <w:pP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　　　　　94.32</w:t>
            </w:r>
          </w:p>
        </w:tc>
      </w:tr>
    </w:tbl>
    <w:p w14:paraId="5973174C">
      <w:pPr>
        <w:widowControl/>
        <w:jc w:val="left"/>
        <w:textAlignment w:val="center"/>
        <w:rPr>
          <w:rFonts w:ascii="Times New Roman" w:hAnsi="Times New Roman" w:eastAsia="宋体" w:cs="Times New Roman"/>
          <w:color w:val="000000"/>
          <w:kern w:val="0"/>
          <w:sz w:val="24"/>
          <w:szCs w:val="24"/>
          <w:lang w:bidi="ar"/>
        </w:rPr>
      </w:pPr>
    </w:p>
    <w:p w14:paraId="6FC259D6">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27E152AD">
      <w:pPr>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4D9198FD">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2C9EE554">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lang w:eastAsia="zh-CN"/>
        </w:rPr>
        <w:t>蓝山县民兵训练基地管理中心</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8"/>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21F30783">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141F8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CBFEEE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7CA684C9">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860DA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E75519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253252">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F3BBF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5B18B0B">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21C21A9D">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6C967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6EB3C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AD9BFF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FA0B77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DE35924">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102A62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0007C077">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752B8F34">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09B792E7">
            <w:pPr>
              <w:rPr>
                <w:rFonts w:ascii="Times New Roman" w:hAnsi="Times New Roman" w:eastAsia="仿宋_GB2312" w:cs="Times New Roman"/>
                <w:sz w:val="24"/>
                <w:szCs w:val="24"/>
              </w:rPr>
            </w:pPr>
          </w:p>
        </w:tc>
      </w:tr>
      <w:tr w14:paraId="13011F5E">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5EEBE09">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34A4B1C0">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2865ACD">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D777AF">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51FC96C7">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46C31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92BFACC">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4DD87102">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3B08C47">
            <w:pPr>
              <w:rPr>
                <w:rFonts w:ascii="Times New Roman" w:hAnsi="Times New Roman" w:eastAsia="仿宋_GB2312" w:cs="Times New Roman"/>
                <w:sz w:val="24"/>
                <w:szCs w:val="24"/>
              </w:rPr>
            </w:pPr>
          </w:p>
        </w:tc>
      </w:tr>
      <w:tr w14:paraId="78FD8F8F">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A44615E">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88EE2BA">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2FDE1CC">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3955B7">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7DBD10">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ED3F52A">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BB29870">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9B4A2">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3962F942">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F162BF8">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AA85D9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94.32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82DD3C">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94.32</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8EAB1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59016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4EEA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73377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54671B">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59800397">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5423615">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201</w:t>
            </w: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76775FD">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B49DBF">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5D7E7F6">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B795E8">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CD01E2">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7259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3045E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A958AC">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42F91D62">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73A1375">
            <w:pPr>
              <w:rPr>
                <w:rFonts w:hint="default" w:ascii="Times New Roman" w:hAnsi="Times New Roman" w:eastAsia="仿宋_GB2312" w:cs="Times New Roman"/>
                <w:sz w:val="24"/>
                <w:szCs w:val="24"/>
                <w:lang w:val="en-US" w:eastAsia="zh-CN"/>
              </w:rPr>
            </w:pPr>
            <w:r>
              <w:rPr>
                <w:rFonts w:hint="eastAsia" w:ascii="Times New Roman" w:hAnsi="Times New Roman" w:eastAsia="仿宋_GB2312" w:cs="Times New Roman"/>
                <w:lang w:val="en-US" w:eastAsia="zh-CN"/>
              </w:rPr>
              <w:t>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D20A3C">
            <w:pPr>
              <w:rPr>
                <w:rFonts w:hint="eastAsia" w:ascii="Times New Roman" w:hAnsi="Times New Roman" w:eastAsia="仿宋_GB2312" w:cs="Times New Roman"/>
                <w:sz w:val="24"/>
                <w:szCs w:val="24"/>
                <w:lang w:eastAsia="zh-CN"/>
              </w:rPr>
            </w:pPr>
            <w:r>
              <w:rPr>
                <w:rFonts w:hint="eastAsia" w:ascii="Times New Roman" w:hAnsi="Times New Roman" w:eastAsia="仿宋_GB2312" w:cs="Times New Roman"/>
                <w:lang w:eastAsia="zh-CN"/>
              </w:rPr>
              <w:t>其他一般公共服务支出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83865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95DC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3B27F9">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1D87A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AEEA1ED">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54D6EB">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60C271">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A54FD5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D5F932">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2019999</w:t>
            </w: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6B64BB4">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其他一般公共服务支出</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78E8F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2F2A18">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87.23</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376EF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11FFF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57613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3C00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FE3474">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648C7E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15D6DD9">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w:t>
            </w: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2E80CCF">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社会保障和就业支出</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5AF734">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B417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E5A576">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E75DA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46A3ACA">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C0B70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AEFF5A9">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1E70F483">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E75AD74">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20805</w:t>
            </w: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ABC6FF6">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行政事业单位养老支出</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998E11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D35D45">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3.55</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9E643">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D19DF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2BBD30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A48567">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4909922">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14:paraId="0588C114">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8686D2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2080505</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48247D">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机关事业单位基本养老保险缴费支出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455F0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DBD06B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3.55</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D3892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7C496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2704F4">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CFCDDB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B216DC">
            <w:pPr>
              <w:jc w:val="right"/>
              <w:rPr>
                <w:rFonts w:ascii="Times New Roman" w:hAnsi="Times New Roman" w:eastAsia="仿宋_GB2312" w:cs="Times New Roman"/>
              </w:rPr>
            </w:pPr>
          </w:p>
        </w:tc>
      </w:tr>
      <w:tr w14:paraId="45C91EC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AE45B28">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4039FBB">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卫生健康支出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CBFD2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36DCCA">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56AE8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D19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5E81DA">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44D635">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9C29B">
            <w:pPr>
              <w:jc w:val="right"/>
              <w:rPr>
                <w:rFonts w:ascii="Times New Roman" w:hAnsi="Times New Roman" w:eastAsia="仿宋_GB2312" w:cs="Times New Roman"/>
              </w:rPr>
            </w:pPr>
          </w:p>
        </w:tc>
      </w:tr>
      <w:tr w14:paraId="234EACE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BAE2B49">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94657BB">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行政事业单位医疗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7DE1CB">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9C02E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ADC8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B184A">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AF1B36">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344F7CF">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89AA6F">
            <w:pPr>
              <w:jc w:val="right"/>
              <w:rPr>
                <w:rFonts w:ascii="Times New Roman" w:hAnsi="Times New Roman" w:eastAsia="仿宋_GB2312" w:cs="Times New Roman"/>
              </w:rPr>
            </w:pPr>
          </w:p>
        </w:tc>
      </w:tr>
      <w:tr w14:paraId="12C76F41">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AA056D">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FC3A01">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事业单位医疗</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9C71A0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31CDA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92672">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EA138D">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060E48">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F179E8">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A8B982">
            <w:pPr>
              <w:jc w:val="right"/>
              <w:rPr>
                <w:rFonts w:ascii="Times New Roman" w:hAnsi="Times New Roman" w:eastAsia="仿宋_GB2312" w:cs="Times New Roman"/>
              </w:rPr>
            </w:pPr>
          </w:p>
        </w:tc>
      </w:tr>
      <w:tr w14:paraId="311E210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DBF264">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7B3D70B">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城乡社区支出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7C052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502444">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E2C84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4D7BE1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446ED0">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043E002">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7AF6F16">
            <w:pPr>
              <w:jc w:val="right"/>
              <w:rPr>
                <w:rFonts w:ascii="Times New Roman" w:hAnsi="Times New Roman" w:eastAsia="仿宋_GB2312" w:cs="Times New Roman"/>
              </w:rPr>
            </w:pPr>
          </w:p>
        </w:tc>
      </w:tr>
      <w:tr w14:paraId="25B8FE00">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1153080">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5463A8">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城乡社区管理事务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69748F">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6F6E12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17C8BF">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6A5ED5">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F5DB35">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1E047D">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C8326E">
            <w:pPr>
              <w:jc w:val="right"/>
              <w:rPr>
                <w:rFonts w:ascii="Times New Roman" w:hAnsi="Times New Roman" w:eastAsia="仿宋_GB2312" w:cs="Times New Roman"/>
              </w:rPr>
            </w:pPr>
          </w:p>
        </w:tc>
      </w:tr>
      <w:tr w14:paraId="4A309ADB">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BF5BF5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2120199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CA0BBD5">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其他城乡社区管理事务支出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D1672B1">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2D9B30">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0.23</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784BC">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503808">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051B71">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FEA71F0">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CC11008">
            <w:pPr>
              <w:jc w:val="right"/>
              <w:rPr>
                <w:rFonts w:ascii="Times New Roman" w:hAnsi="Times New Roman" w:eastAsia="仿宋_GB2312" w:cs="Times New Roman"/>
              </w:rPr>
            </w:pPr>
          </w:p>
        </w:tc>
      </w:tr>
      <w:tr w14:paraId="48A4BEDA">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181276D6">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08A20B0">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96124D">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C30053">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9F66B1">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4D48A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23BF82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6144C1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CBDC56">
            <w:pPr>
              <w:jc w:val="right"/>
              <w:rPr>
                <w:rFonts w:ascii="Times New Roman" w:hAnsi="Times New Roman" w:eastAsia="仿宋_GB2312" w:cs="Times New Roman"/>
              </w:rPr>
            </w:pPr>
          </w:p>
        </w:tc>
      </w:tr>
      <w:tr w14:paraId="27F3EF36">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D96601E">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2C7AF3">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937702">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05FA98">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1.59</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B75FC6">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E502BE">
            <w:pPr>
              <w:jc w:val="right"/>
              <w:rPr>
                <w:rFonts w:ascii="Times New Roman" w:hAnsi="Times New Roman" w:eastAsia="仿宋_GB2312" w:cs="Times New Roman"/>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D1E103F">
            <w:pPr>
              <w:jc w:val="right"/>
              <w:rPr>
                <w:rFonts w:ascii="Times New Roman" w:hAnsi="Times New Roman" w:eastAsia="仿宋_GB2312" w:cs="Times New Roman"/>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FAD936">
            <w:pPr>
              <w:jc w:val="right"/>
              <w:rPr>
                <w:rFonts w:ascii="Times New Roman" w:hAnsi="Times New Roman" w:eastAsia="仿宋_GB2312" w:cs="Times New Roman"/>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F2E5D23">
            <w:pPr>
              <w:jc w:val="right"/>
              <w:rPr>
                <w:rFonts w:ascii="Times New Roman" w:hAnsi="Times New Roman" w:eastAsia="仿宋_GB2312" w:cs="Times New Roman"/>
              </w:rPr>
            </w:pPr>
          </w:p>
        </w:tc>
      </w:tr>
      <w:tr w14:paraId="44632818">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A85251">
            <w:pPr>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2299999</w:t>
            </w: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327CD6A">
            <w:pPr>
              <w:rPr>
                <w:rFonts w:ascii="Times New Roman" w:hAnsi="Times New Roman" w:eastAsia="仿宋_GB2312" w:cs="Times New Roman"/>
                <w:sz w:val="24"/>
                <w:szCs w:val="24"/>
              </w:rPr>
            </w:pPr>
            <w:r>
              <w:rPr>
                <w:rFonts w:hint="eastAsia" w:ascii="Times New Roman" w:hAnsi="Times New Roman" w:eastAsia="仿宋_GB2312" w:cs="Times New Roman"/>
                <w:lang w:eastAsia="zh-CN"/>
              </w:rPr>
              <w:t>其他支出</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3B0609">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EE76AA">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1.59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37898AF">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CA5DB0">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5631551">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E4C34E">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A453796">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14:paraId="79748697">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26DF36C1">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3A2680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5D0C6C48">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0BB09A6E">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蓝山县民兵训练基地管理中心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8"/>
        <w:tblW w:w="4998" w:type="pct"/>
        <w:jc w:val="center"/>
        <w:tblLayout w:type="autofit"/>
        <w:tblCellMar>
          <w:top w:w="0" w:type="dxa"/>
          <w:left w:w="108" w:type="dxa"/>
          <w:bottom w:w="0" w:type="dxa"/>
          <w:right w:w="108" w:type="dxa"/>
        </w:tblCellMar>
      </w:tblPr>
      <w:tblGrid>
        <w:gridCol w:w="2424"/>
        <w:gridCol w:w="4056"/>
        <w:gridCol w:w="1877"/>
        <w:gridCol w:w="904"/>
        <w:gridCol w:w="676"/>
        <w:gridCol w:w="1333"/>
        <w:gridCol w:w="790"/>
        <w:gridCol w:w="2154"/>
      </w:tblGrid>
      <w:tr w14:paraId="78B3E8FF">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66392F21">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7C078B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DE71202">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352F0AF">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978F0E">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2AA3A95">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27CA5D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3F97DF41">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D4B6BE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69" w:type="pct"/>
            <w:vMerge w:val="restart"/>
            <w:tcBorders>
              <w:top w:val="nil"/>
              <w:left w:val="single" w:color="auto" w:sz="4" w:space="0"/>
              <w:bottom w:val="single" w:color="auto" w:sz="4" w:space="0"/>
              <w:right w:val="single" w:color="auto" w:sz="4" w:space="0"/>
            </w:tcBorders>
            <w:shd w:val="clear" w:color="000000" w:fill="FFFFFF"/>
            <w:vAlign w:val="center"/>
          </w:tcPr>
          <w:p w14:paraId="4EE9EA69">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20FB9799">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0118FB88">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09E5EB7">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45469D42">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6E0AC0C9">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7F4AB811">
            <w:pPr>
              <w:widowControl/>
              <w:jc w:val="left"/>
              <w:rPr>
                <w:rFonts w:ascii="Times New Roman" w:hAnsi="Times New Roman" w:eastAsia="仿宋_GB2312" w:cs="Times New Roman"/>
                <w:b/>
                <w:bCs/>
                <w:kern w:val="0"/>
                <w:sz w:val="24"/>
                <w:szCs w:val="24"/>
              </w:rPr>
            </w:pPr>
          </w:p>
        </w:tc>
      </w:tr>
      <w:tr w14:paraId="60CDD0D1">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14:paraId="2A6C9B25">
            <w:pPr>
              <w:widowControl/>
              <w:jc w:val="left"/>
              <w:rPr>
                <w:rFonts w:ascii="Times New Roman" w:hAnsi="Times New Roman" w:eastAsia="仿宋_GB2312" w:cs="Times New Roman"/>
                <w:kern w:val="0"/>
                <w:sz w:val="24"/>
                <w:szCs w:val="24"/>
              </w:rPr>
            </w:pPr>
          </w:p>
        </w:tc>
        <w:tc>
          <w:tcPr>
            <w:tcW w:w="469" w:type="pct"/>
            <w:vMerge w:val="continue"/>
            <w:tcBorders>
              <w:top w:val="nil"/>
              <w:left w:val="single" w:color="auto" w:sz="4" w:space="0"/>
              <w:bottom w:val="single" w:color="auto" w:sz="4" w:space="0"/>
              <w:right w:val="single" w:color="auto" w:sz="4" w:space="0"/>
            </w:tcBorders>
            <w:vAlign w:val="center"/>
          </w:tcPr>
          <w:p w14:paraId="1FC0EBCB">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859918F">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BF7BD96">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5167C053">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14:paraId="5C701A03">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14:paraId="340B3CBD">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14:paraId="20D74ED6">
            <w:pPr>
              <w:widowControl/>
              <w:jc w:val="left"/>
              <w:rPr>
                <w:rFonts w:ascii="Times New Roman" w:hAnsi="Times New Roman" w:eastAsia="仿宋_GB2312" w:cs="Times New Roman"/>
                <w:kern w:val="0"/>
                <w:sz w:val="24"/>
                <w:szCs w:val="24"/>
              </w:rPr>
            </w:pPr>
          </w:p>
        </w:tc>
      </w:tr>
      <w:tr w14:paraId="7E657FEA">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C2EFEF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14:paraId="3D58B20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14:paraId="56B25AE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14:paraId="053160C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14:paraId="4C2DB73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14:paraId="03A92878">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14:paraId="077F9B1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742ED2E">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1546E9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14:paraId="4818A133">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94.32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34BE3F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94.32</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C12DA1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47D9D01">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1A5234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4BE11C8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06744B2">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35ECB25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93B606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一般公共服务支出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A83C3FD">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D656E7C">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0CDACA4">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29A1FE47">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218C692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701584F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13F75D17">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18FD841">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20199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7B066A94">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其他一般公共服务支出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5F5EDD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4377941">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8671B8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F1914F0">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53B428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3834C2A">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3FCF02B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1CE2E2CD">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2019999</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65EA2A8A">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其他一般公共服务支出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41DA8FF4">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C26E63F">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D3DF5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1A86B728">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3D8315A3">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1FAC4BD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151935F">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8F9D98C">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208</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000000" w:fill="FFFFFF"/>
            <w:noWrap/>
            <w:vAlign w:val="center"/>
          </w:tcPr>
          <w:p w14:paraId="2007809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社会保障和就业支出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9E6D93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78CED990">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401ADFD5">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57F1B00C">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C71633B">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0CD377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56D301AA">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4466EAFA">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20805</w:t>
            </w:r>
          </w:p>
        </w:tc>
        <w:tc>
          <w:tcPr>
            <w:tcW w:w="469" w:type="pct"/>
            <w:tcBorders>
              <w:top w:val="nil"/>
              <w:left w:val="nil"/>
              <w:bottom w:val="single" w:color="auto" w:sz="4" w:space="0"/>
              <w:right w:val="single" w:color="auto" w:sz="4" w:space="0"/>
            </w:tcBorders>
            <w:shd w:val="clear" w:color="000000" w:fill="FFFFFF"/>
            <w:noWrap/>
            <w:vAlign w:val="center"/>
          </w:tcPr>
          <w:p w14:paraId="4F2C96BE">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eastAsia="zh-CN"/>
              </w:rPr>
              <w:t>行政事业单位养老支出</w:t>
            </w: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05BF43D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35F9D2E">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6B2A2DB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14:paraId="7FEAEA9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14:paraId="15619012">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14:paraId="52CE2BE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7876C1EC">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D1D22CF">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2080505</w:t>
            </w:r>
          </w:p>
        </w:tc>
        <w:tc>
          <w:tcPr>
            <w:tcW w:w="469" w:type="pct"/>
            <w:tcBorders>
              <w:top w:val="nil"/>
              <w:left w:val="nil"/>
              <w:bottom w:val="single" w:color="auto" w:sz="4" w:space="0"/>
              <w:right w:val="single" w:color="auto" w:sz="4" w:space="0"/>
            </w:tcBorders>
            <w:shd w:val="clear" w:color="000000" w:fill="FFFFFF"/>
            <w:noWrap/>
            <w:vAlign w:val="center"/>
          </w:tcPr>
          <w:p w14:paraId="491A4A1E">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机关事业单位基本养老保险缴费支出</w:t>
            </w:r>
          </w:p>
        </w:tc>
        <w:tc>
          <w:tcPr>
            <w:tcW w:w="660" w:type="pct"/>
            <w:tcBorders>
              <w:top w:val="nil"/>
              <w:left w:val="nil"/>
              <w:bottom w:val="single" w:color="auto" w:sz="4" w:space="0"/>
              <w:right w:val="single" w:color="auto" w:sz="4" w:space="0"/>
            </w:tcBorders>
            <w:shd w:val="clear" w:color="auto" w:fill="auto"/>
            <w:noWrap/>
            <w:vAlign w:val="center"/>
          </w:tcPr>
          <w:p w14:paraId="635E5FCD">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3.55</w:t>
            </w:r>
          </w:p>
        </w:tc>
        <w:tc>
          <w:tcPr>
            <w:tcW w:w="469" w:type="pct"/>
            <w:tcBorders>
              <w:top w:val="nil"/>
              <w:left w:val="nil"/>
              <w:bottom w:val="single" w:color="auto" w:sz="4" w:space="0"/>
              <w:right w:val="single" w:color="auto" w:sz="4" w:space="0"/>
            </w:tcBorders>
            <w:shd w:val="clear" w:color="auto" w:fill="auto"/>
            <w:noWrap/>
            <w:vAlign w:val="center"/>
          </w:tcPr>
          <w:p w14:paraId="34696A9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3.55</w:t>
            </w:r>
          </w:p>
        </w:tc>
        <w:tc>
          <w:tcPr>
            <w:tcW w:w="469" w:type="pct"/>
            <w:tcBorders>
              <w:top w:val="nil"/>
              <w:left w:val="nil"/>
              <w:bottom w:val="single" w:color="auto" w:sz="4" w:space="0"/>
              <w:right w:val="single" w:color="auto" w:sz="4" w:space="0"/>
            </w:tcBorders>
            <w:shd w:val="clear" w:color="auto" w:fill="auto"/>
            <w:noWrap/>
            <w:vAlign w:val="center"/>
          </w:tcPr>
          <w:p w14:paraId="414FB701">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481CB383">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682B392">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2BE0B9DD">
            <w:pPr>
              <w:widowControl/>
              <w:jc w:val="right"/>
              <w:rPr>
                <w:rFonts w:ascii="Times New Roman" w:hAnsi="Times New Roman" w:eastAsia="仿宋_GB2312" w:cs="Times New Roman"/>
                <w:kern w:val="0"/>
                <w:sz w:val="24"/>
                <w:szCs w:val="24"/>
              </w:rPr>
            </w:pPr>
          </w:p>
        </w:tc>
      </w:tr>
      <w:tr w14:paraId="16EAE933">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744C69AB">
            <w:pPr>
              <w:widowControl/>
              <w:jc w:val="lef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210</w:t>
            </w:r>
          </w:p>
        </w:tc>
        <w:tc>
          <w:tcPr>
            <w:tcW w:w="469" w:type="pct"/>
            <w:tcBorders>
              <w:top w:val="nil"/>
              <w:left w:val="nil"/>
              <w:bottom w:val="single" w:color="auto" w:sz="4" w:space="0"/>
              <w:right w:val="single" w:color="auto" w:sz="4" w:space="0"/>
            </w:tcBorders>
            <w:shd w:val="clear" w:color="000000" w:fill="FFFFFF"/>
            <w:noWrap/>
            <w:vAlign w:val="center"/>
          </w:tcPr>
          <w:p w14:paraId="06F807F8">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卫生健康支出</w:t>
            </w:r>
          </w:p>
        </w:tc>
        <w:tc>
          <w:tcPr>
            <w:tcW w:w="660" w:type="pct"/>
            <w:tcBorders>
              <w:top w:val="nil"/>
              <w:left w:val="nil"/>
              <w:bottom w:val="single" w:color="auto" w:sz="4" w:space="0"/>
              <w:right w:val="single" w:color="auto" w:sz="4" w:space="0"/>
            </w:tcBorders>
            <w:shd w:val="clear" w:color="auto" w:fill="auto"/>
            <w:noWrap/>
            <w:vAlign w:val="center"/>
          </w:tcPr>
          <w:p w14:paraId="6E8B7118">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2ADAA127">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32FAEF3D">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841C68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E2F4A3D">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68D743B">
            <w:pPr>
              <w:widowControl/>
              <w:jc w:val="right"/>
              <w:rPr>
                <w:rFonts w:ascii="Times New Roman" w:hAnsi="Times New Roman" w:eastAsia="仿宋_GB2312" w:cs="Times New Roman"/>
                <w:kern w:val="0"/>
                <w:sz w:val="24"/>
                <w:szCs w:val="24"/>
              </w:rPr>
            </w:pPr>
          </w:p>
        </w:tc>
      </w:tr>
      <w:tr w14:paraId="6B1D2A61">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14:paraId="5C4FC960">
            <w:pPr>
              <w:widowControl/>
              <w:jc w:val="lef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21011</w:t>
            </w:r>
          </w:p>
        </w:tc>
        <w:tc>
          <w:tcPr>
            <w:tcW w:w="1337" w:type="dxa"/>
            <w:tcBorders>
              <w:top w:val="nil"/>
              <w:left w:val="nil"/>
              <w:bottom w:val="single" w:color="auto" w:sz="4" w:space="0"/>
              <w:right w:val="single" w:color="auto" w:sz="4" w:space="0"/>
            </w:tcBorders>
            <w:shd w:val="clear" w:color="000000" w:fill="FFFFFF"/>
            <w:noWrap/>
            <w:vAlign w:val="center"/>
          </w:tcPr>
          <w:p w14:paraId="1F5E0C97">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行政事业单位医疗</w:t>
            </w:r>
          </w:p>
        </w:tc>
        <w:tc>
          <w:tcPr>
            <w:tcW w:w="1877" w:type="dxa"/>
            <w:tcBorders>
              <w:top w:val="nil"/>
              <w:left w:val="nil"/>
              <w:bottom w:val="single" w:color="auto" w:sz="4" w:space="0"/>
              <w:right w:val="single" w:color="auto" w:sz="4" w:space="0"/>
            </w:tcBorders>
            <w:shd w:val="clear" w:color="auto" w:fill="auto"/>
            <w:noWrap/>
            <w:vAlign w:val="center"/>
          </w:tcPr>
          <w:p w14:paraId="522BDD84">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37BB6B6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47C4D57A">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2E1AB79">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4275E50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7682C399">
            <w:pPr>
              <w:widowControl/>
              <w:jc w:val="right"/>
              <w:rPr>
                <w:rFonts w:ascii="Times New Roman" w:hAnsi="Times New Roman" w:eastAsia="仿宋_GB2312" w:cs="Times New Roman"/>
                <w:kern w:val="0"/>
                <w:sz w:val="24"/>
                <w:szCs w:val="24"/>
              </w:rPr>
            </w:pPr>
          </w:p>
        </w:tc>
      </w:tr>
      <w:tr w14:paraId="0191E24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8FEF67B">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2101102</w:t>
            </w:r>
          </w:p>
        </w:tc>
        <w:tc>
          <w:tcPr>
            <w:tcW w:w="1337" w:type="dxa"/>
            <w:tcBorders>
              <w:top w:val="nil"/>
              <w:left w:val="nil"/>
              <w:bottom w:val="single" w:color="auto" w:sz="4" w:space="0"/>
              <w:right w:val="single" w:color="auto" w:sz="4" w:space="0"/>
            </w:tcBorders>
            <w:shd w:val="clear" w:color="000000" w:fill="FFFFFF"/>
            <w:noWrap/>
            <w:vAlign w:val="center"/>
          </w:tcPr>
          <w:p w14:paraId="4C807B9E">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事业单位医疗</w:t>
            </w:r>
          </w:p>
        </w:tc>
        <w:tc>
          <w:tcPr>
            <w:tcW w:w="1877" w:type="dxa"/>
            <w:tcBorders>
              <w:top w:val="nil"/>
              <w:left w:val="nil"/>
              <w:bottom w:val="single" w:color="auto" w:sz="4" w:space="0"/>
              <w:right w:val="single" w:color="auto" w:sz="4" w:space="0"/>
            </w:tcBorders>
            <w:shd w:val="clear" w:color="auto" w:fill="auto"/>
            <w:noWrap/>
            <w:vAlign w:val="center"/>
          </w:tcPr>
          <w:p w14:paraId="15AC5CC6">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153BB81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1.72</w:t>
            </w:r>
          </w:p>
        </w:tc>
        <w:tc>
          <w:tcPr>
            <w:tcW w:w="469" w:type="pct"/>
            <w:tcBorders>
              <w:top w:val="nil"/>
              <w:left w:val="nil"/>
              <w:bottom w:val="single" w:color="auto" w:sz="4" w:space="0"/>
              <w:right w:val="single" w:color="auto" w:sz="4" w:space="0"/>
            </w:tcBorders>
            <w:shd w:val="clear" w:color="auto" w:fill="auto"/>
            <w:noWrap/>
            <w:vAlign w:val="center"/>
          </w:tcPr>
          <w:p w14:paraId="75167C68">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E4B4905">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771ADAEF">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C7BE0C7">
            <w:pPr>
              <w:widowControl/>
              <w:jc w:val="right"/>
              <w:rPr>
                <w:rFonts w:ascii="Times New Roman" w:hAnsi="Times New Roman" w:eastAsia="仿宋_GB2312" w:cs="Times New Roman"/>
                <w:kern w:val="0"/>
                <w:sz w:val="24"/>
                <w:szCs w:val="24"/>
              </w:rPr>
            </w:pPr>
          </w:p>
        </w:tc>
      </w:tr>
      <w:tr w14:paraId="1978254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4A09BEAC">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212</w:t>
            </w:r>
          </w:p>
        </w:tc>
        <w:tc>
          <w:tcPr>
            <w:tcW w:w="1337" w:type="dxa"/>
            <w:tcBorders>
              <w:top w:val="nil"/>
              <w:left w:val="nil"/>
              <w:bottom w:val="single" w:color="auto" w:sz="4" w:space="0"/>
              <w:right w:val="single" w:color="auto" w:sz="4" w:space="0"/>
            </w:tcBorders>
            <w:shd w:val="clear" w:color="000000" w:fill="FFFFFF"/>
            <w:noWrap/>
            <w:vAlign w:val="center"/>
          </w:tcPr>
          <w:p w14:paraId="012C080E">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城乡社区支出</w:t>
            </w:r>
          </w:p>
        </w:tc>
        <w:tc>
          <w:tcPr>
            <w:tcW w:w="1877" w:type="dxa"/>
            <w:tcBorders>
              <w:top w:val="nil"/>
              <w:left w:val="nil"/>
              <w:bottom w:val="single" w:color="auto" w:sz="4" w:space="0"/>
              <w:right w:val="single" w:color="auto" w:sz="4" w:space="0"/>
            </w:tcBorders>
            <w:shd w:val="clear" w:color="auto" w:fill="auto"/>
            <w:noWrap/>
            <w:vAlign w:val="center"/>
          </w:tcPr>
          <w:p w14:paraId="3192CB3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30E4EF2C">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6DCF737C">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7A8218CF">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0C156B7E">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34846136">
            <w:pPr>
              <w:widowControl/>
              <w:jc w:val="right"/>
              <w:rPr>
                <w:rFonts w:ascii="Times New Roman" w:hAnsi="Times New Roman" w:eastAsia="仿宋_GB2312" w:cs="Times New Roman"/>
                <w:kern w:val="0"/>
                <w:sz w:val="24"/>
                <w:szCs w:val="24"/>
              </w:rPr>
            </w:pPr>
          </w:p>
        </w:tc>
      </w:tr>
      <w:tr w14:paraId="3AF722B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700CB96">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21201</w:t>
            </w:r>
          </w:p>
        </w:tc>
        <w:tc>
          <w:tcPr>
            <w:tcW w:w="1337" w:type="dxa"/>
            <w:tcBorders>
              <w:top w:val="nil"/>
              <w:left w:val="nil"/>
              <w:bottom w:val="single" w:color="auto" w:sz="4" w:space="0"/>
              <w:right w:val="single" w:color="auto" w:sz="4" w:space="0"/>
            </w:tcBorders>
            <w:shd w:val="clear" w:color="000000" w:fill="FFFFFF"/>
            <w:noWrap/>
            <w:vAlign w:val="center"/>
          </w:tcPr>
          <w:p w14:paraId="6CDF6153">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城乡社区管理事务</w:t>
            </w:r>
          </w:p>
        </w:tc>
        <w:tc>
          <w:tcPr>
            <w:tcW w:w="1877" w:type="dxa"/>
            <w:tcBorders>
              <w:top w:val="nil"/>
              <w:left w:val="nil"/>
              <w:bottom w:val="single" w:color="auto" w:sz="4" w:space="0"/>
              <w:right w:val="single" w:color="auto" w:sz="4" w:space="0"/>
            </w:tcBorders>
            <w:shd w:val="clear" w:color="auto" w:fill="auto"/>
            <w:noWrap/>
            <w:vAlign w:val="center"/>
          </w:tcPr>
          <w:p w14:paraId="1F5DD25E">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063D1653">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55E20857">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3278577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1AB6C635">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872985E">
            <w:pPr>
              <w:widowControl/>
              <w:jc w:val="right"/>
              <w:rPr>
                <w:rFonts w:ascii="Times New Roman" w:hAnsi="Times New Roman" w:eastAsia="仿宋_GB2312" w:cs="Times New Roman"/>
                <w:kern w:val="0"/>
                <w:sz w:val="24"/>
                <w:szCs w:val="24"/>
              </w:rPr>
            </w:pPr>
          </w:p>
        </w:tc>
      </w:tr>
      <w:tr w14:paraId="3E4AC27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3D960E53">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2120199</w:t>
            </w:r>
          </w:p>
        </w:tc>
        <w:tc>
          <w:tcPr>
            <w:tcW w:w="1337" w:type="dxa"/>
            <w:tcBorders>
              <w:top w:val="nil"/>
              <w:left w:val="nil"/>
              <w:bottom w:val="single" w:color="auto" w:sz="4" w:space="0"/>
              <w:right w:val="single" w:color="auto" w:sz="4" w:space="0"/>
            </w:tcBorders>
            <w:shd w:val="clear" w:color="000000" w:fill="FFFFFF"/>
            <w:noWrap/>
            <w:vAlign w:val="center"/>
          </w:tcPr>
          <w:p w14:paraId="2811D68B">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其他城乡社区管理事务支出</w:t>
            </w:r>
          </w:p>
        </w:tc>
        <w:tc>
          <w:tcPr>
            <w:tcW w:w="1877" w:type="dxa"/>
            <w:tcBorders>
              <w:top w:val="nil"/>
              <w:left w:val="nil"/>
              <w:bottom w:val="single" w:color="auto" w:sz="4" w:space="0"/>
              <w:right w:val="single" w:color="auto" w:sz="4" w:space="0"/>
            </w:tcBorders>
            <w:shd w:val="clear" w:color="auto" w:fill="auto"/>
            <w:noWrap/>
            <w:vAlign w:val="center"/>
          </w:tcPr>
          <w:p w14:paraId="38A0B508">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5D428862">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0.23</w:t>
            </w:r>
          </w:p>
        </w:tc>
        <w:tc>
          <w:tcPr>
            <w:tcW w:w="469" w:type="pct"/>
            <w:tcBorders>
              <w:top w:val="nil"/>
              <w:left w:val="nil"/>
              <w:bottom w:val="single" w:color="auto" w:sz="4" w:space="0"/>
              <w:right w:val="single" w:color="auto" w:sz="4" w:space="0"/>
            </w:tcBorders>
            <w:shd w:val="clear" w:color="auto" w:fill="auto"/>
            <w:noWrap/>
            <w:vAlign w:val="center"/>
          </w:tcPr>
          <w:p w14:paraId="71BDD541">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6E84014D">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98B4737">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6A8D4FD5">
            <w:pPr>
              <w:widowControl/>
              <w:jc w:val="right"/>
              <w:rPr>
                <w:rFonts w:ascii="Times New Roman" w:hAnsi="Times New Roman" w:eastAsia="仿宋_GB2312" w:cs="Times New Roman"/>
                <w:kern w:val="0"/>
                <w:sz w:val="24"/>
                <w:szCs w:val="24"/>
              </w:rPr>
            </w:pPr>
          </w:p>
        </w:tc>
      </w:tr>
      <w:tr w14:paraId="2E4274F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7B1257EF">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229</w:t>
            </w:r>
          </w:p>
        </w:tc>
        <w:tc>
          <w:tcPr>
            <w:tcW w:w="1337" w:type="dxa"/>
            <w:tcBorders>
              <w:top w:val="nil"/>
              <w:left w:val="nil"/>
              <w:bottom w:val="single" w:color="auto" w:sz="4" w:space="0"/>
              <w:right w:val="single" w:color="auto" w:sz="4" w:space="0"/>
            </w:tcBorders>
            <w:shd w:val="clear" w:color="000000" w:fill="FFFFFF"/>
            <w:noWrap/>
            <w:vAlign w:val="center"/>
          </w:tcPr>
          <w:p w14:paraId="5112CAE6">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其他支出</w:t>
            </w:r>
          </w:p>
        </w:tc>
        <w:tc>
          <w:tcPr>
            <w:tcW w:w="1877" w:type="dxa"/>
            <w:tcBorders>
              <w:top w:val="nil"/>
              <w:left w:val="nil"/>
              <w:bottom w:val="single" w:color="auto" w:sz="4" w:space="0"/>
              <w:right w:val="single" w:color="auto" w:sz="4" w:space="0"/>
            </w:tcBorders>
            <w:shd w:val="clear" w:color="auto" w:fill="auto"/>
            <w:noWrap/>
            <w:vAlign w:val="center"/>
          </w:tcPr>
          <w:p w14:paraId="2E389317">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1.59</w:t>
            </w:r>
          </w:p>
        </w:tc>
        <w:tc>
          <w:tcPr>
            <w:tcW w:w="469" w:type="pct"/>
            <w:tcBorders>
              <w:top w:val="nil"/>
              <w:left w:val="nil"/>
              <w:bottom w:val="single" w:color="auto" w:sz="4" w:space="0"/>
              <w:right w:val="single" w:color="auto" w:sz="4" w:space="0"/>
            </w:tcBorders>
            <w:shd w:val="clear" w:color="auto" w:fill="auto"/>
            <w:noWrap/>
            <w:vAlign w:val="center"/>
          </w:tcPr>
          <w:p w14:paraId="632B3029">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1.59</w:t>
            </w:r>
          </w:p>
        </w:tc>
        <w:tc>
          <w:tcPr>
            <w:tcW w:w="469" w:type="pct"/>
            <w:tcBorders>
              <w:top w:val="nil"/>
              <w:left w:val="nil"/>
              <w:bottom w:val="single" w:color="auto" w:sz="4" w:space="0"/>
              <w:right w:val="single" w:color="auto" w:sz="4" w:space="0"/>
            </w:tcBorders>
            <w:shd w:val="clear" w:color="auto" w:fill="auto"/>
            <w:noWrap/>
            <w:vAlign w:val="center"/>
          </w:tcPr>
          <w:p w14:paraId="18414EA8">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1DC2866C">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626C408A">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0E4133A4">
            <w:pPr>
              <w:widowControl/>
              <w:jc w:val="right"/>
              <w:rPr>
                <w:rFonts w:ascii="Times New Roman" w:hAnsi="Times New Roman" w:eastAsia="仿宋_GB2312" w:cs="Times New Roman"/>
                <w:kern w:val="0"/>
                <w:sz w:val="24"/>
                <w:szCs w:val="24"/>
              </w:rPr>
            </w:pPr>
          </w:p>
        </w:tc>
      </w:tr>
      <w:tr w14:paraId="538A401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0F0A84E5">
            <w:pPr>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22999</w:t>
            </w:r>
          </w:p>
        </w:tc>
        <w:tc>
          <w:tcPr>
            <w:tcW w:w="1337" w:type="dxa"/>
            <w:tcBorders>
              <w:top w:val="nil"/>
              <w:left w:val="nil"/>
              <w:bottom w:val="nil"/>
              <w:right w:val="single" w:color="auto" w:sz="4" w:space="0"/>
            </w:tcBorders>
            <w:shd w:val="clear" w:color="000000" w:fill="FFFFFF"/>
            <w:noWrap/>
            <w:vAlign w:val="center"/>
          </w:tcPr>
          <w:p w14:paraId="0CF35B11">
            <w:pPr>
              <w:rPr>
                <w:rFonts w:ascii="Times New Roman" w:hAnsi="Times New Roman" w:eastAsia="仿宋_GB2312" w:cs="Times New Roman"/>
                <w:kern w:val="0"/>
                <w:sz w:val="24"/>
                <w:szCs w:val="24"/>
              </w:rPr>
            </w:pPr>
            <w:r>
              <w:rPr>
                <w:rFonts w:hint="eastAsia" w:ascii="Times New Roman" w:hAnsi="Times New Roman" w:eastAsia="仿宋_GB2312" w:cs="Times New Roman"/>
                <w:lang w:eastAsia="zh-CN"/>
              </w:rPr>
              <w:t>其他支出</w:t>
            </w:r>
          </w:p>
        </w:tc>
        <w:tc>
          <w:tcPr>
            <w:tcW w:w="1877" w:type="dxa"/>
            <w:tcBorders>
              <w:top w:val="nil"/>
              <w:left w:val="nil"/>
              <w:bottom w:val="nil"/>
              <w:right w:val="single" w:color="auto" w:sz="4" w:space="0"/>
            </w:tcBorders>
            <w:shd w:val="clear" w:color="auto" w:fill="auto"/>
            <w:noWrap/>
            <w:vAlign w:val="center"/>
          </w:tcPr>
          <w:p w14:paraId="591927EE">
            <w:pPr>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1.59</w:t>
            </w:r>
          </w:p>
        </w:tc>
        <w:tc>
          <w:tcPr>
            <w:tcW w:w="469" w:type="pct"/>
            <w:tcBorders>
              <w:top w:val="nil"/>
              <w:left w:val="nil"/>
              <w:bottom w:val="nil"/>
              <w:right w:val="single" w:color="auto" w:sz="4" w:space="0"/>
            </w:tcBorders>
            <w:shd w:val="clear" w:color="auto" w:fill="auto"/>
            <w:noWrap/>
            <w:vAlign w:val="center"/>
          </w:tcPr>
          <w:p w14:paraId="7507EBB7">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1.59</w:t>
            </w: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7252A67D">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nil"/>
              <w:right w:val="single" w:color="auto" w:sz="4" w:space="0"/>
            </w:tcBorders>
            <w:shd w:val="clear" w:color="auto" w:fill="auto"/>
            <w:noWrap/>
            <w:vAlign w:val="center"/>
          </w:tcPr>
          <w:p w14:paraId="2F59C33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nil"/>
              <w:right w:val="single" w:color="auto" w:sz="4" w:space="0"/>
            </w:tcBorders>
            <w:shd w:val="clear" w:color="auto" w:fill="auto"/>
            <w:noWrap/>
            <w:vAlign w:val="center"/>
          </w:tcPr>
          <w:p w14:paraId="5FA2E239">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nil"/>
              <w:right w:val="single" w:color="auto" w:sz="4" w:space="0"/>
            </w:tcBorders>
            <w:shd w:val="clear" w:color="auto" w:fill="auto"/>
            <w:noWrap/>
            <w:vAlign w:val="center"/>
          </w:tcPr>
          <w:p w14:paraId="4D6B4F76">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14:paraId="63A4AD38">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noWrap/>
            <w:vAlign w:val="center"/>
          </w:tcPr>
          <w:p w14:paraId="1D0325E4">
            <w:pPr>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2299999</w:t>
            </w:r>
          </w:p>
        </w:tc>
        <w:tc>
          <w:tcPr>
            <w:tcW w:w="1337" w:type="dxa"/>
            <w:tcBorders>
              <w:top w:val="nil"/>
              <w:left w:val="nil"/>
              <w:bottom w:val="single" w:color="auto" w:sz="4" w:space="0"/>
              <w:right w:val="single" w:color="auto" w:sz="4" w:space="0"/>
            </w:tcBorders>
            <w:shd w:val="clear" w:color="000000" w:fill="FFFFFF"/>
            <w:noWrap/>
            <w:vAlign w:val="center"/>
          </w:tcPr>
          <w:p w14:paraId="0C677BB8">
            <w:pPr>
              <w:rPr>
                <w:rFonts w:hint="eastAsia" w:ascii="Times New Roman" w:hAnsi="Times New Roman" w:eastAsia="仿宋_GB2312" w:cs="Times New Roman"/>
                <w:lang w:eastAsia="zh-CN"/>
              </w:rPr>
            </w:pPr>
            <w:r>
              <w:rPr>
                <w:rFonts w:hint="eastAsia" w:ascii="Times New Roman" w:hAnsi="Times New Roman" w:eastAsia="仿宋_GB2312" w:cs="Times New Roman"/>
                <w:lang w:eastAsia="zh-CN"/>
              </w:rPr>
              <w:t>其他支出</w:t>
            </w:r>
          </w:p>
        </w:tc>
        <w:tc>
          <w:tcPr>
            <w:tcW w:w="1877" w:type="dxa"/>
            <w:tcBorders>
              <w:top w:val="nil"/>
              <w:left w:val="nil"/>
              <w:bottom w:val="single" w:color="auto" w:sz="4" w:space="0"/>
              <w:right w:val="single" w:color="auto" w:sz="4" w:space="0"/>
            </w:tcBorders>
            <w:shd w:val="clear" w:color="auto" w:fill="auto"/>
            <w:noWrap/>
            <w:vAlign w:val="center"/>
          </w:tcPr>
          <w:p w14:paraId="3EBBECCC">
            <w:pPr>
              <w:jc w:val="right"/>
              <w:rPr>
                <w:rFonts w:hint="default" w:ascii="Times New Roman" w:hAnsi="Times New Roman" w:eastAsia="仿宋_GB2312" w:cs="Times New Roman"/>
                <w:lang w:val="en-US" w:eastAsia="zh-CN"/>
              </w:rPr>
            </w:pPr>
            <w:r>
              <w:rPr>
                <w:rFonts w:hint="eastAsia" w:ascii="Times New Roman" w:hAnsi="Times New Roman" w:eastAsia="仿宋_GB2312" w:cs="Times New Roman"/>
                <w:lang w:val="en-US" w:eastAsia="zh-CN"/>
              </w:rPr>
              <w:t>1.59</w:t>
            </w:r>
          </w:p>
        </w:tc>
        <w:tc>
          <w:tcPr>
            <w:tcW w:w="469" w:type="pct"/>
            <w:tcBorders>
              <w:top w:val="nil"/>
              <w:left w:val="nil"/>
              <w:bottom w:val="single" w:color="auto" w:sz="4" w:space="0"/>
              <w:right w:val="single" w:color="auto" w:sz="4" w:space="0"/>
            </w:tcBorders>
            <w:shd w:val="clear" w:color="auto" w:fill="auto"/>
            <w:noWrap/>
            <w:vAlign w:val="center"/>
          </w:tcPr>
          <w:p w14:paraId="6F84D7D0">
            <w:pPr>
              <w:widowControl/>
              <w:jc w:val="right"/>
              <w:rPr>
                <w:rFonts w:hint="default" w:ascii="Times New Roman" w:hAnsi="Times New Roman" w:eastAsia="仿宋_GB2312" w:cs="Times New Roman"/>
                <w:kern w:val="0"/>
                <w:sz w:val="24"/>
                <w:szCs w:val="24"/>
                <w:lang w:val="en-US" w:eastAsia="zh-CN"/>
              </w:rPr>
            </w:pPr>
            <w:r>
              <w:rPr>
                <w:rFonts w:hint="eastAsia" w:ascii="Times New Roman" w:hAnsi="Times New Roman" w:eastAsia="仿宋_GB2312" w:cs="Times New Roman"/>
                <w:kern w:val="0"/>
                <w:sz w:val="24"/>
                <w:szCs w:val="24"/>
                <w:lang w:val="en-US" w:eastAsia="zh-CN"/>
              </w:rPr>
              <w:t>1.59</w:t>
            </w:r>
          </w:p>
        </w:tc>
        <w:tc>
          <w:tcPr>
            <w:tcW w:w="469" w:type="pct"/>
            <w:tcBorders>
              <w:top w:val="nil"/>
              <w:left w:val="nil"/>
              <w:bottom w:val="single" w:color="auto" w:sz="4" w:space="0"/>
              <w:right w:val="single" w:color="auto" w:sz="4" w:space="0"/>
            </w:tcBorders>
            <w:shd w:val="clear" w:color="auto" w:fill="auto"/>
            <w:noWrap/>
            <w:vAlign w:val="center"/>
          </w:tcPr>
          <w:p w14:paraId="4084803D">
            <w:pPr>
              <w:widowControl/>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14:paraId="0990DD4B">
            <w:pPr>
              <w:widowControl/>
              <w:jc w:val="right"/>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14:paraId="2787E686">
            <w:pPr>
              <w:widowControl/>
              <w:jc w:val="right"/>
              <w:rPr>
                <w:rFonts w:ascii="Times New Roman" w:hAnsi="Times New Roman" w:eastAsia="仿宋_GB2312" w:cs="Times New Roman"/>
                <w:kern w:val="0"/>
                <w:sz w:val="24"/>
                <w:szCs w:val="24"/>
              </w:rPr>
            </w:pPr>
          </w:p>
        </w:tc>
        <w:tc>
          <w:tcPr>
            <w:tcW w:w="948" w:type="pct"/>
            <w:tcBorders>
              <w:top w:val="nil"/>
              <w:left w:val="nil"/>
              <w:bottom w:val="single" w:color="auto" w:sz="4" w:space="0"/>
              <w:right w:val="single" w:color="auto" w:sz="4" w:space="0"/>
            </w:tcBorders>
            <w:shd w:val="clear" w:color="auto" w:fill="auto"/>
            <w:noWrap/>
            <w:vAlign w:val="center"/>
          </w:tcPr>
          <w:p w14:paraId="1054CD73">
            <w:pPr>
              <w:widowControl/>
              <w:jc w:val="right"/>
              <w:rPr>
                <w:rFonts w:ascii="Times New Roman" w:hAnsi="Times New Roman" w:eastAsia="仿宋_GB2312" w:cs="Times New Roman"/>
                <w:kern w:val="0"/>
                <w:sz w:val="24"/>
                <w:szCs w:val="24"/>
              </w:rPr>
            </w:pPr>
          </w:p>
        </w:tc>
      </w:tr>
    </w:tbl>
    <w:p w14:paraId="2E014E2E">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32F36790">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1EB7558">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FB84188">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r>
        <w:rPr>
          <w:rFonts w:hint="eastAsia" w:ascii="Times New Roman" w:hAnsi="Times New Roman" w:eastAsia="黑体" w:cs="Times New Roman"/>
          <w:color w:val="000000"/>
          <w:kern w:val="0"/>
          <w:sz w:val="36"/>
          <w:szCs w:val="36"/>
          <w:lang w:val="en-US" w:eastAsia="zh-CN" w:bidi="ar"/>
        </w:rPr>
        <w:t xml:space="preserve"> </w:t>
      </w:r>
    </w:p>
    <w:p w14:paraId="727F0536">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p>
    <w:p w14:paraId="7E5056F5">
      <w:pPr>
        <w:widowControl/>
        <w:spacing w:after="156" w:afterLines="50"/>
        <w:jc w:val="center"/>
        <w:textAlignment w:val="center"/>
        <w:rPr>
          <w:rFonts w:hint="eastAsia" w:ascii="Times New Roman" w:hAnsi="Times New Roman" w:eastAsia="黑体" w:cs="Times New Roman"/>
          <w:color w:val="000000"/>
          <w:kern w:val="0"/>
          <w:sz w:val="36"/>
          <w:szCs w:val="36"/>
          <w:lang w:val="en-US" w:eastAsia="zh-CN" w:bidi="ar"/>
        </w:rPr>
      </w:pPr>
    </w:p>
    <w:p w14:paraId="2B8884F6">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57115F6E">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14:paraId="0E62A505">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eastAsia="zh-CN"/>
        </w:rPr>
        <w:t>蓝山县民兵训练基地管理中心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8"/>
        <w:tblW w:w="0" w:type="auto"/>
        <w:jc w:val="center"/>
        <w:tblLayout w:type="autofit"/>
        <w:tblCellMar>
          <w:top w:w="0" w:type="dxa"/>
          <w:left w:w="108" w:type="dxa"/>
          <w:bottom w:w="0" w:type="dxa"/>
          <w:right w:w="108" w:type="dxa"/>
        </w:tblCellMar>
      </w:tblPr>
      <w:tblGrid>
        <w:gridCol w:w="3516"/>
        <w:gridCol w:w="616"/>
        <w:gridCol w:w="846"/>
        <w:gridCol w:w="2636"/>
        <w:gridCol w:w="616"/>
        <w:gridCol w:w="1066"/>
        <w:gridCol w:w="1771"/>
        <w:gridCol w:w="1523"/>
        <w:gridCol w:w="1630"/>
      </w:tblGrid>
      <w:tr w14:paraId="0AB28768">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502E40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14:paraId="512CB9E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1E1D2510">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7A0FF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5CCD52F7">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4F74E68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14:paraId="0284F6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14:paraId="661E10EA">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14:paraId="530234FF">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14:paraId="3C0ED1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14:paraId="3C2F840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14:paraId="05E4D823">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376739B9">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BDEA4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12D116F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385FE12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14:paraId="67D7272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14:paraId="79DFA0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14:paraId="5030242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14:paraId="3B914A1E">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14:paraId="57ECCFC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14:paraId="50CC0A6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36FE90A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22B05D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684EED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14:paraId="5ACF506B">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9D6C61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14:paraId="6292B91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14:paraId="70D9D4A0">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87.23</w:t>
            </w:r>
          </w:p>
        </w:tc>
        <w:tc>
          <w:tcPr>
            <w:tcW w:w="0" w:type="auto"/>
            <w:tcBorders>
              <w:top w:val="nil"/>
              <w:left w:val="nil"/>
              <w:bottom w:val="single" w:color="auto" w:sz="4" w:space="0"/>
              <w:right w:val="single" w:color="auto" w:sz="4" w:space="0"/>
            </w:tcBorders>
            <w:shd w:val="clear" w:color="auto" w:fill="auto"/>
            <w:noWrap/>
            <w:vAlign w:val="center"/>
          </w:tcPr>
          <w:p w14:paraId="2B35D207">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87.23</w:t>
            </w:r>
          </w:p>
        </w:tc>
        <w:tc>
          <w:tcPr>
            <w:tcW w:w="0" w:type="auto"/>
            <w:tcBorders>
              <w:top w:val="nil"/>
              <w:left w:val="nil"/>
              <w:bottom w:val="single" w:color="auto" w:sz="4" w:space="0"/>
              <w:right w:val="single" w:color="auto" w:sz="4" w:space="0"/>
            </w:tcBorders>
            <w:shd w:val="clear" w:color="auto" w:fill="auto"/>
            <w:noWrap/>
            <w:vAlign w:val="center"/>
          </w:tcPr>
          <w:p w14:paraId="7C51E1C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42CF3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252D5F1">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FF2507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1660F2F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14:paraId="0B36DFE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2E1D6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14:paraId="4C786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14:paraId="2320A7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67A7A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CB9AB2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5EC6E5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2ABEA1B">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6C231EB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1FCDBCB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14:paraId="09C24AEC">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C6C2C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14:paraId="467DC2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14:paraId="57EB4E5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C497F1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240E9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0BFC60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5B5C2C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192411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473D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14:paraId="6AADD02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65C17D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14:paraId="23BF571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14:paraId="3545A45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FF21A6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67288F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450A72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32FC2B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7473E5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7DA016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14:paraId="5C87F21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04DCA85F">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14:paraId="5D864F7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931" w:type="dxa"/>
            <w:tcBorders>
              <w:top w:val="nil"/>
              <w:left w:val="nil"/>
              <w:bottom w:val="single" w:color="auto" w:sz="4" w:space="0"/>
              <w:right w:val="single" w:color="auto" w:sz="4" w:space="0"/>
            </w:tcBorders>
            <w:shd w:val="clear" w:color="auto" w:fill="auto"/>
            <w:noWrap/>
            <w:vAlign w:val="center"/>
          </w:tcPr>
          <w:p w14:paraId="3A090CC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3.55</w:t>
            </w:r>
          </w:p>
        </w:tc>
        <w:tc>
          <w:tcPr>
            <w:tcW w:w="1771" w:type="dxa"/>
            <w:tcBorders>
              <w:top w:val="nil"/>
              <w:left w:val="nil"/>
              <w:bottom w:val="single" w:color="auto" w:sz="4" w:space="0"/>
              <w:right w:val="single" w:color="auto" w:sz="4" w:space="0"/>
            </w:tcBorders>
            <w:shd w:val="clear" w:color="auto" w:fill="auto"/>
            <w:noWrap/>
            <w:vAlign w:val="center"/>
          </w:tcPr>
          <w:p w14:paraId="3CF7253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3.55</w:t>
            </w:r>
          </w:p>
        </w:tc>
        <w:tc>
          <w:tcPr>
            <w:tcW w:w="0" w:type="auto"/>
            <w:tcBorders>
              <w:top w:val="nil"/>
              <w:left w:val="nil"/>
              <w:bottom w:val="single" w:color="auto" w:sz="4" w:space="0"/>
              <w:right w:val="single" w:color="auto" w:sz="4" w:space="0"/>
            </w:tcBorders>
            <w:shd w:val="clear" w:color="auto" w:fill="auto"/>
            <w:noWrap/>
            <w:vAlign w:val="center"/>
          </w:tcPr>
          <w:p w14:paraId="4A2DCEA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5E04A96">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1484034">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AB4FE0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2250F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14:paraId="2680F7A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E148B74">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4"/>
                <w:szCs w:val="24"/>
                <w:lang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14:paraId="77EAB0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931" w:type="dxa"/>
            <w:tcBorders>
              <w:top w:val="nil"/>
              <w:left w:val="nil"/>
              <w:bottom w:val="single" w:color="auto" w:sz="4" w:space="0"/>
              <w:right w:val="single" w:color="auto" w:sz="4" w:space="0"/>
            </w:tcBorders>
            <w:shd w:val="clear" w:color="auto" w:fill="auto"/>
            <w:noWrap/>
            <w:vAlign w:val="center"/>
          </w:tcPr>
          <w:p w14:paraId="78A8936F">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1.72</w:t>
            </w:r>
          </w:p>
        </w:tc>
        <w:tc>
          <w:tcPr>
            <w:tcW w:w="1771" w:type="dxa"/>
            <w:tcBorders>
              <w:top w:val="nil"/>
              <w:left w:val="nil"/>
              <w:bottom w:val="single" w:color="auto" w:sz="4" w:space="0"/>
              <w:right w:val="single" w:color="auto" w:sz="4" w:space="0"/>
            </w:tcBorders>
            <w:shd w:val="clear" w:color="auto" w:fill="auto"/>
            <w:noWrap/>
            <w:vAlign w:val="center"/>
          </w:tcPr>
          <w:p w14:paraId="07726F43">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1.72</w:t>
            </w:r>
          </w:p>
        </w:tc>
        <w:tc>
          <w:tcPr>
            <w:tcW w:w="0" w:type="auto"/>
            <w:tcBorders>
              <w:top w:val="nil"/>
              <w:left w:val="nil"/>
              <w:bottom w:val="single" w:color="auto" w:sz="4" w:space="0"/>
              <w:right w:val="single" w:color="auto" w:sz="4" w:space="0"/>
            </w:tcBorders>
            <w:shd w:val="clear" w:color="auto" w:fill="auto"/>
            <w:noWrap/>
            <w:vAlign w:val="center"/>
          </w:tcPr>
          <w:p w14:paraId="5DA7FE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6A16575">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8CD4DE2">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4AE071B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900A78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14:paraId="40A415A0">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E4ADD30">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十一、城乡社区支出</w:t>
            </w:r>
          </w:p>
        </w:tc>
        <w:tc>
          <w:tcPr>
            <w:tcW w:w="0" w:type="auto"/>
            <w:tcBorders>
              <w:top w:val="nil"/>
              <w:left w:val="nil"/>
              <w:bottom w:val="single" w:color="auto" w:sz="4" w:space="0"/>
              <w:right w:val="single" w:color="auto" w:sz="4" w:space="0"/>
            </w:tcBorders>
            <w:shd w:val="clear" w:color="auto" w:fill="auto"/>
            <w:noWrap/>
            <w:vAlign w:val="center"/>
          </w:tcPr>
          <w:p w14:paraId="6A0C0BA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14:paraId="17781F13">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0.23</w:t>
            </w:r>
          </w:p>
        </w:tc>
        <w:tc>
          <w:tcPr>
            <w:tcW w:w="0" w:type="auto"/>
            <w:tcBorders>
              <w:top w:val="nil"/>
              <w:left w:val="nil"/>
              <w:bottom w:val="single" w:color="auto" w:sz="4" w:space="0"/>
              <w:right w:val="single" w:color="auto" w:sz="4" w:space="0"/>
            </w:tcBorders>
            <w:shd w:val="clear" w:color="auto" w:fill="auto"/>
            <w:noWrap/>
            <w:vAlign w:val="center"/>
          </w:tcPr>
          <w:p w14:paraId="4C625D00">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0.23</w:t>
            </w:r>
          </w:p>
        </w:tc>
        <w:tc>
          <w:tcPr>
            <w:tcW w:w="0" w:type="auto"/>
            <w:tcBorders>
              <w:top w:val="nil"/>
              <w:left w:val="nil"/>
              <w:bottom w:val="single" w:color="auto" w:sz="4" w:space="0"/>
              <w:right w:val="single" w:color="auto" w:sz="4" w:space="0"/>
            </w:tcBorders>
            <w:shd w:val="clear" w:color="auto" w:fill="auto"/>
            <w:noWrap/>
            <w:vAlign w:val="center"/>
          </w:tcPr>
          <w:p w14:paraId="175029C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96A003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53A306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B22ECC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59A3A7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14:paraId="34DA6905">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5A21BA">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eastAsia="zh-CN"/>
              </w:rPr>
              <w:t>二十三、其他支出</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66F99D8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14:paraId="79C2AF4C">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1.59</w:t>
            </w:r>
          </w:p>
        </w:tc>
        <w:tc>
          <w:tcPr>
            <w:tcW w:w="0" w:type="auto"/>
            <w:tcBorders>
              <w:top w:val="nil"/>
              <w:left w:val="nil"/>
              <w:bottom w:val="single" w:color="auto" w:sz="4" w:space="0"/>
              <w:right w:val="single" w:color="auto" w:sz="4" w:space="0"/>
            </w:tcBorders>
            <w:shd w:val="clear" w:color="auto" w:fill="auto"/>
            <w:noWrap/>
            <w:vAlign w:val="center"/>
          </w:tcPr>
          <w:p w14:paraId="0E8F6AEA">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1.59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97546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F9A88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CDDA6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269FCFD">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14:paraId="40EE637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14:paraId="27A31C37">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0E0AD4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14:paraId="6F5AF2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14:paraId="6EBF872A">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94.32</w:t>
            </w:r>
          </w:p>
        </w:tc>
        <w:tc>
          <w:tcPr>
            <w:tcW w:w="0" w:type="auto"/>
            <w:tcBorders>
              <w:top w:val="nil"/>
              <w:left w:val="nil"/>
              <w:bottom w:val="single" w:color="auto" w:sz="4" w:space="0"/>
              <w:right w:val="single" w:color="auto" w:sz="4" w:space="0"/>
            </w:tcBorders>
            <w:shd w:val="clear" w:color="auto" w:fill="auto"/>
            <w:noWrap/>
            <w:vAlign w:val="center"/>
          </w:tcPr>
          <w:p w14:paraId="21809A71">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231A20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A09B9AB">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14:paraId="0DEA44B3">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2F6EA1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2A3158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14:paraId="19627BC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24ECC8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14:paraId="7A22BF7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14:paraId="2B2BE7F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C7AF7E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FA061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54C336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1A57D9DE">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5EE6824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14:paraId="29A172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14:paraId="414C31FB">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08540F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0D9AAA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14:paraId="06A63D0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8330B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B49F02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C7C8E17">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6B368620">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0ED8E9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14:paraId="593D241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14:paraId="462882D9">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8EE2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9DD51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14:paraId="565E0F6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7E2212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8684EC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1A89DCC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50ED3A5">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14:paraId="7EA4E8F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14:paraId="056A96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14:paraId="3A8A83B4">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E5061B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4138229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14:paraId="1A4E83B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51F2633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7009076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23E4742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34D870F8">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14:paraId="5CF1A96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72BA7638">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14:paraId="3D41DC93">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4B18A5C6">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14:paraId="3DF12D0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14:paraId="16235278">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94.32</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14:paraId="102ED0A6">
            <w:pPr>
              <w:widowControl/>
              <w:jc w:val="center"/>
              <w:rPr>
                <w:rFonts w:hint="default"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94.32</w:t>
            </w:r>
          </w:p>
        </w:tc>
        <w:tc>
          <w:tcPr>
            <w:tcW w:w="0" w:type="auto"/>
            <w:tcBorders>
              <w:top w:val="nil"/>
              <w:left w:val="nil"/>
              <w:bottom w:val="single" w:color="auto" w:sz="4" w:space="0"/>
              <w:right w:val="single" w:color="auto" w:sz="4" w:space="0"/>
            </w:tcBorders>
            <w:shd w:val="clear" w:color="auto" w:fill="auto"/>
            <w:noWrap/>
            <w:vAlign w:val="center"/>
          </w:tcPr>
          <w:p w14:paraId="3C5D0FE6">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14:paraId="36CE99BC">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14:paraId="0C4C9A11">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2B64621F">
      <w:pPr>
        <w:widowControl/>
        <w:jc w:val="center"/>
        <w:rPr>
          <w:rFonts w:ascii="Times New Roman" w:hAnsi="Times New Roman" w:eastAsia="方正小标宋_GBK" w:cs="Times New Roman"/>
          <w:kern w:val="0"/>
          <w:sz w:val="36"/>
          <w:szCs w:val="36"/>
        </w:rPr>
      </w:pPr>
    </w:p>
    <w:p w14:paraId="3181AAA8">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47377F5">
      <w:pPr>
        <w:widowControl/>
        <w:spacing w:after="156" w:afterLines="50"/>
        <w:jc w:val="center"/>
        <w:textAlignment w:val="center"/>
        <w:rPr>
          <w:rFonts w:ascii="Times New Roman" w:hAnsi="Times New Roman" w:eastAsia="黑体" w:cs="Times New Roman"/>
          <w:color w:val="000000"/>
          <w:kern w:val="0"/>
          <w:sz w:val="36"/>
          <w:szCs w:val="36"/>
          <w:lang w:bidi="ar"/>
        </w:rPr>
      </w:pPr>
    </w:p>
    <w:p w14:paraId="51EE0E2A">
      <w:pPr>
        <w:widowControl/>
        <w:spacing w:after="156" w:afterLines="50"/>
        <w:jc w:val="center"/>
        <w:textAlignment w:val="center"/>
        <w:rPr>
          <w:rFonts w:ascii="Times New Roman" w:hAnsi="Times New Roman" w:eastAsia="黑体" w:cs="Times New Roman"/>
          <w:color w:val="000000"/>
          <w:kern w:val="0"/>
          <w:sz w:val="36"/>
          <w:szCs w:val="36"/>
          <w:lang w:bidi="ar"/>
        </w:rPr>
      </w:pPr>
    </w:p>
    <w:p w14:paraId="670440C0">
      <w:pPr>
        <w:widowControl/>
        <w:spacing w:after="156" w:afterLines="50"/>
        <w:jc w:val="center"/>
        <w:textAlignment w:val="center"/>
        <w:rPr>
          <w:rFonts w:ascii="Times New Roman" w:hAnsi="Times New Roman" w:eastAsia="黑体" w:cs="Times New Roman"/>
          <w:color w:val="000000"/>
          <w:kern w:val="0"/>
          <w:sz w:val="36"/>
          <w:szCs w:val="36"/>
          <w:lang w:bidi="ar"/>
        </w:rPr>
      </w:pPr>
    </w:p>
    <w:p w14:paraId="1604E8C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73E5BC08">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AEBCB38">
      <w:pPr>
        <w:widowControl/>
        <w:spacing w:before="156" w:beforeLines="50"/>
        <w:ind w:left="11760" w:hanging="11760" w:hangingChars="56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蓝山县民兵训练基地管理中心</w:t>
      </w:r>
      <w:r>
        <w:rPr>
          <w:rFonts w:ascii="Times New Roman" w:hAnsi="Times New Roman" w:eastAsia="仿宋_GB2312" w:cs="Times New Roman"/>
          <w:color w:val="000000"/>
          <w:kern w:val="0"/>
          <w:szCs w:val="21"/>
        </w:rPr>
        <w:t xml:space="preserve">                                                                                                     公开05表</w:t>
      </w:r>
    </w:p>
    <w:p w14:paraId="73964961">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1285"/>
        <w:gridCol w:w="3501"/>
        <w:gridCol w:w="2983"/>
        <w:gridCol w:w="3471"/>
        <w:gridCol w:w="2979"/>
      </w:tblGrid>
      <w:tr w14:paraId="580A562F">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184526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54EE1EA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69B3DC6B">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25C6412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7D752D3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4CA218D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4E20750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521831C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4E1FE3C2">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1A564B4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02F15184">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9D5E949">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0280128">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27C00001">
            <w:pPr>
              <w:widowControl/>
              <w:jc w:val="left"/>
              <w:rPr>
                <w:rFonts w:ascii="Times New Roman" w:hAnsi="Times New Roman" w:eastAsia="仿宋_GB2312" w:cs="Times New Roman"/>
                <w:kern w:val="0"/>
                <w:szCs w:val="21"/>
              </w:rPr>
            </w:pPr>
          </w:p>
        </w:tc>
      </w:tr>
      <w:tr w14:paraId="04050035">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C8E07C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573853A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6B5F8875">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6AA0570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B4572EA">
            <w:pPr>
              <w:widowControl/>
              <w:jc w:val="left"/>
              <w:rPr>
                <w:rFonts w:ascii="Times New Roman" w:hAnsi="Times New Roman" w:eastAsia="仿宋_GB2312" w:cs="Times New Roman"/>
                <w:kern w:val="0"/>
                <w:szCs w:val="21"/>
              </w:rPr>
            </w:pPr>
          </w:p>
        </w:tc>
      </w:tr>
      <w:tr w14:paraId="1247565E">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0F3F7BD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51DBB06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F30812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4DD664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6115E149">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4B74AD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0E2598DD">
            <w:pPr>
              <w:widowControl/>
              <w:jc w:val="center"/>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　　　　　　　　　　　94.32</w:t>
            </w: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14:paraId="68CA6067">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94.32</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2C613B2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5B2D2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5C1E75B">
            <w:pPr>
              <w:widowControl/>
              <w:jc w:val="both"/>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val="en-US" w:eastAsia="zh-CN"/>
              </w:rPr>
              <w:t>201</w:t>
            </w: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14:paraId="72650C56">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一般公共服务支出</w:t>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14:paraId="1786B82A">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87.23</w:t>
            </w:r>
          </w:p>
        </w:tc>
        <w:tc>
          <w:tcPr>
            <w:tcW w:w="3492" w:type="dxa"/>
            <w:tcBorders>
              <w:top w:val="nil"/>
              <w:left w:val="nil"/>
              <w:bottom w:val="single" w:color="auto" w:sz="4" w:space="0"/>
              <w:right w:val="single" w:color="auto" w:sz="4" w:space="0"/>
            </w:tcBorders>
            <w:shd w:val="clear" w:color="auto" w:fill="auto"/>
            <w:vAlign w:val="center"/>
          </w:tcPr>
          <w:p w14:paraId="6EADD058">
            <w:pPr>
              <w:widowControl/>
              <w:jc w:val="left"/>
              <w:rPr>
                <w:rFonts w:hint="default" w:ascii="Times New Roman" w:hAnsi="Times New Roman" w:eastAsia="仿宋_GB2312" w:cs="Times New Roman"/>
                <w:kern w:val="0"/>
                <w:szCs w:val="21"/>
                <w:lang w:val="en-US" w:eastAsia="zh-CN"/>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eastAsia="zh-CN"/>
              </w:rPr>
              <w:t>　　　　　　　　　　　　</w:t>
            </w:r>
            <w:r>
              <w:rPr>
                <w:rFonts w:hint="eastAsia" w:ascii="Times New Roman" w:hAnsi="Times New Roman" w:eastAsia="仿宋_GB2312" w:cs="Times New Roman"/>
                <w:kern w:val="0"/>
                <w:szCs w:val="21"/>
                <w:lang w:val="en-US" w:eastAsia="zh-CN"/>
              </w:rPr>
              <w:t>87.23</w:t>
            </w:r>
          </w:p>
        </w:tc>
        <w:tc>
          <w:tcPr>
            <w:tcW w:w="3000" w:type="dxa"/>
            <w:tcBorders>
              <w:top w:val="nil"/>
              <w:left w:val="nil"/>
              <w:bottom w:val="single" w:color="auto" w:sz="4" w:space="0"/>
              <w:right w:val="single" w:color="auto" w:sz="8" w:space="0"/>
            </w:tcBorders>
            <w:shd w:val="clear" w:color="auto" w:fill="auto"/>
            <w:vAlign w:val="center"/>
          </w:tcPr>
          <w:p w14:paraId="6B774D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D0850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1E54FE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20199</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5934F1F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其他一般公共服务支出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0613AA9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A16C78E">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6E481F9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096DB3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6A08795">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2019999</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326382B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其他一般公共服务支出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0B9B687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42679F7A">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87.23</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7F65E6F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18993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2B7F861">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208</w:t>
            </w:r>
            <w:r>
              <w:rPr>
                <w:rFonts w:ascii="Times New Roman" w:hAnsi="Times New Roman" w:eastAsia="仿宋_GB2312" w:cs="Times New Roman"/>
                <w:kern w:val="0"/>
                <w:sz w:val="24"/>
                <w:szCs w:val="24"/>
              </w:rPr>
              <w:t>　</w:t>
            </w:r>
          </w:p>
        </w:tc>
        <w:tc>
          <w:tcPr>
            <w:tcW w:w="3527" w:type="dxa"/>
            <w:tcBorders>
              <w:top w:val="nil"/>
              <w:left w:val="nil"/>
              <w:bottom w:val="single" w:color="auto" w:sz="4" w:space="0"/>
              <w:right w:val="single" w:color="auto" w:sz="4" w:space="0"/>
            </w:tcBorders>
            <w:shd w:val="clear" w:color="auto" w:fill="auto"/>
            <w:vAlign w:val="center"/>
          </w:tcPr>
          <w:p w14:paraId="6B00D5F9">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社会保障和就业支出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0389BF37">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20E43C72">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2F8C2D7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57E8C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5716AEF">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20805</w:t>
            </w:r>
          </w:p>
        </w:tc>
        <w:tc>
          <w:tcPr>
            <w:tcW w:w="3527" w:type="dxa"/>
            <w:tcBorders>
              <w:top w:val="nil"/>
              <w:left w:val="nil"/>
              <w:bottom w:val="single" w:color="auto" w:sz="4" w:space="0"/>
              <w:right w:val="single" w:color="auto" w:sz="4" w:space="0"/>
            </w:tcBorders>
            <w:shd w:val="clear" w:color="auto" w:fill="auto"/>
            <w:vAlign w:val="center"/>
          </w:tcPr>
          <w:p w14:paraId="20E9B65E">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行政事业单位养老支出</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4" w:space="0"/>
            </w:tcBorders>
            <w:shd w:val="clear" w:color="auto" w:fill="auto"/>
            <w:vAlign w:val="center"/>
          </w:tcPr>
          <w:p w14:paraId="1CC1125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14:paraId="009BA54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14:paraId="714017B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1D2738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DB3DDAD">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2080505</w:t>
            </w:r>
          </w:p>
        </w:tc>
        <w:tc>
          <w:tcPr>
            <w:tcW w:w="3527" w:type="dxa"/>
            <w:tcBorders>
              <w:top w:val="nil"/>
              <w:left w:val="nil"/>
              <w:bottom w:val="single" w:color="auto" w:sz="8" w:space="0"/>
              <w:right w:val="single" w:color="auto" w:sz="4" w:space="0"/>
            </w:tcBorders>
            <w:shd w:val="clear" w:color="auto" w:fill="auto"/>
            <w:vAlign w:val="center"/>
          </w:tcPr>
          <w:p w14:paraId="0E57C18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机关事业单位基本养老保险缴费支出</w:t>
            </w:r>
          </w:p>
        </w:tc>
        <w:tc>
          <w:tcPr>
            <w:tcW w:w="3000" w:type="dxa"/>
            <w:tcBorders>
              <w:top w:val="nil"/>
              <w:left w:val="nil"/>
              <w:bottom w:val="single" w:color="auto" w:sz="8" w:space="0"/>
              <w:right w:val="single" w:color="auto" w:sz="4" w:space="0"/>
            </w:tcBorders>
            <w:shd w:val="clear" w:color="auto" w:fill="auto"/>
            <w:vAlign w:val="center"/>
          </w:tcPr>
          <w:p w14:paraId="10D7180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p>
        </w:tc>
        <w:tc>
          <w:tcPr>
            <w:tcW w:w="3492" w:type="dxa"/>
            <w:tcBorders>
              <w:top w:val="nil"/>
              <w:left w:val="nil"/>
              <w:bottom w:val="single" w:color="auto" w:sz="8" w:space="0"/>
              <w:right w:val="single" w:color="auto" w:sz="4" w:space="0"/>
            </w:tcBorders>
            <w:shd w:val="clear" w:color="auto" w:fill="auto"/>
            <w:vAlign w:val="center"/>
          </w:tcPr>
          <w:p w14:paraId="79D67C85">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3.55</w:t>
            </w:r>
          </w:p>
        </w:tc>
        <w:tc>
          <w:tcPr>
            <w:tcW w:w="3000" w:type="dxa"/>
            <w:tcBorders>
              <w:top w:val="nil"/>
              <w:left w:val="nil"/>
              <w:bottom w:val="single" w:color="auto" w:sz="8" w:space="0"/>
              <w:right w:val="single" w:color="auto" w:sz="8" w:space="0"/>
            </w:tcBorders>
            <w:shd w:val="clear" w:color="auto" w:fill="auto"/>
            <w:vAlign w:val="center"/>
          </w:tcPr>
          <w:p w14:paraId="3D811714">
            <w:pPr>
              <w:widowControl/>
              <w:jc w:val="left"/>
              <w:rPr>
                <w:rFonts w:ascii="Times New Roman" w:hAnsi="Times New Roman" w:eastAsia="仿宋_GB2312" w:cs="Times New Roman"/>
                <w:kern w:val="0"/>
                <w:szCs w:val="21"/>
              </w:rPr>
            </w:pPr>
          </w:p>
        </w:tc>
      </w:tr>
      <w:tr w14:paraId="4E59EC9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D42EA78">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210</w:t>
            </w:r>
          </w:p>
        </w:tc>
        <w:tc>
          <w:tcPr>
            <w:tcW w:w="3527" w:type="dxa"/>
            <w:tcBorders>
              <w:top w:val="nil"/>
              <w:left w:val="nil"/>
              <w:bottom w:val="single" w:color="auto" w:sz="8" w:space="0"/>
              <w:right w:val="single" w:color="auto" w:sz="4" w:space="0"/>
            </w:tcBorders>
            <w:shd w:val="clear" w:color="auto" w:fill="auto"/>
            <w:vAlign w:val="center"/>
          </w:tcPr>
          <w:p w14:paraId="6146A3D7">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eastAsia="zh-CN"/>
              </w:rPr>
              <w:t>卫生健康支出</w:t>
            </w:r>
          </w:p>
        </w:tc>
        <w:tc>
          <w:tcPr>
            <w:tcW w:w="3000" w:type="dxa"/>
            <w:tcBorders>
              <w:top w:val="nil"/>
              <w:left w:val="nil"/>
              <w:bottom w:val="single" w:color="auto" w:sz="8" w:space="0"/>
              <w:right w:val="single" w:color="auto" w:sz="4" w:space="0"/>
            </w:tcBorders>
            <w:shd w:val="clear" w:color="auto" w:fill="auto"/>
            <w:vAlign w:val="center"/>
          </w:tcPr>
          <w:p w14:paraId="458E9783">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1.72</w:t>
            </w:r>
          </w:p>
        </w:tc>
        <w:tc>
          <w:tcPr>
            <w:tcW w:w="3492" w:type="dxa"/>
            <w:tcBorders>
              <w:top w:val="nil"/>
              <w:left w:val="nil"/>
              <w:bottom w:val="single" w:color="auto" w:sz="8" w:space="0"/>
              <w:right w:val="single" w:color="auto" w:sz="4" w:space="0"/>
            </w:tcBorders>
            <w:shd w:val="clear" w:color="auto" w:fill="auto"/>
            <w:vAlign w:val="center"/>
          </w:tcPr>
          <w:p w14:paraId="111B53CD">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1.72</w:t>
            </w:r>
          </w:p>
        </w:tc>
        <w:tc>
          <w:tcPr>
            <w:tcW w:w="3000" w:type="dxa"/>
            <w:tcBorders>
              <w:top w:val="nil"/>
              <w:left w:val="nil"/>
              <w:bottom w:val="single" w:color="auto" w:sz="8" w:space="0"/>
              <w:right w:val="single" w:color="auto" w:sz="8" w:space="0"/>
            </w:tcBorders>
            <w:shd w:val="clear" w:color="auto" w:fill="auto"/>
            <w:vAlign w:val="center"/>
          </w:tcPr>
          <w:p w14:paraId="31CEFAF6">
            <w:pPr>
              <w:widowControl/>
              <w:jc w:val="left"/>
              <w:rPr>
                <w:rFonts w:ascii="Times New Roman" w:hAnsi="Times New Roman" w:eastAsia="仿宋_GB2312" w:cs="Times New Roman"/>
                <w:kern w:val="0"/>
                <w:szCs w:val="21"/>
              </w:rPr>
            </w:pPr>
          </w:p>
        </w:tc>
      </w:tr>
      <w:tr w14:paraId="0E6BBE0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5712F0EB">
            <w:pPr>
              <w:widowControl/>
              <w:jc w:val="lef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w:t>
            </w:r>
          </w:p>
        </w:tc>
        <w:tc>
          <w:tcPr>
            <w:tcW w:w="3527" w:type="dxa"/>
            <w:tcBorders>
              <w:top w:val="nil"/>
              <w:left w:val="nil"/>
              <w:bottom w:val="single" w:color="auto" w:sz="8" w:space="0"/>
              <w:right w:val="single" w:color="auto" w:sz="4" w:space="0"/>
            </w:tcBorders>
            <w:shd w:val="clear" w:color="auto" w:fill="auto"/>
            <w:vAlign w:val="center"/>
          </w:tcPr>
          <w:p w14:paraId="72E781AF">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行政事业单位医疗</w:t>
            </w:r>
          </w:p>
        </w:tc>
        <w:tc>
          <w:tcPr>
            <w:tcW w:w="3000" w:type="dxa"/>
            <w:tcBorders>
              <w:top w:val="nil"/>
              <w:left w:val="nil"/>
              <w:bottom w:val="single" w:color="auto" w:sz="8" w:space="0"/>
              <w:right w:val="single" w:color="auto" w:sz="4" w:space="0"/>
            </w:tcBorders>
            <w:shd w:val="clear" w:color="auto" w:fill="auto"/>
            <w:vAlign w:val="center"/>
          </w:tcPr>
          <w:p w14:paraId="7B6E41CC">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1.72</w:t>
            </w:r>
          </w:p>
        </w:tc>
        <w:tc>
          <w:tcPr>
            <w:tcW w:w="3492" w:type="dxa"/>
            <w:tcBorders>
              <w:top w:val="nil"/>
              <w:left w:val="nil"/>
              <w:bottom w:val="single" w:color="auto" w:sz="8" w:space="0"/>
              <w:right w:val="single" w:color="auto" w:sz="4" w:space="0"/>
            </w:tcBorders>
            <w:shd w:val="clear" w:color="auto" w:fill="auto"/>
            <w:vAlign w:val="center"/>
          </w:tcPr>
          <w:p w14:paraId="6A87C81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1.72</w:t>
            </w:r>
          </w:p>
        </w:tc>
        <w:tc>
          <w:tcPr>
            <w:tcW w:w="3000" w:type="dxa"/>
            <w:tcBorders>
              <w:top w:val="nil"/>
              <w:left w:val="nil"/>
              <w:bottom w:val="single" w:color="auto" w:sz="8" w:space="0"/>
              <w:right w:val="single" w:color="auto" w:sz="8" w:space="0"/>
            </w:tcBorders>
            <w:shd w:val="clear" w:color="auto" w:fill="auto"/>
            <w:vAlign w:val="center"/>
          </w:tcPr>
          <w:p w14:paraId="26A3726F">
            <w:pPr>
              <w:widowControl/>
              <w:jc w:val="left"/>
              <w:rPr>
                <w:rFonts w:ascii="Times New Roman" w:hAnsi="Times New Roman" w:eastAsia="仿宋_GB2312" w:cs="Times New Roman"/>
                <w:kern w:val="0"/>
                <w:szCs w:val="21"/>
              </w:rPr>
            </w:pPr>
          </w:p>
        </w:tc>
      </w:tr>
      <w:tr w14:paraId="74A8C0C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2C4FBCD">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2101102</w:t>
            </w:r>
          </w:p>
        </w:tc>
        <w:tc>
          <w:tcPr>
            <w:tcW w:w="3527" w:type="dxa"/>
            <w:tcBorders>
              <w:top w:val="nil"/>
              <w:left w:val="nil"/>
              <w:bottom w:val="single" w:color="auto" w:sz="8" w:space="0"/>
              <w:right w:val="single" w:color="auto" w:sz="4" w:space="0"/>
            </w:tcBorders>
            <w:shd w:val="clear" w:color="auto" w:fill="auto"/>
            <w:vAlign w:val="center"/>
          </w:tcPr>
          <w:p w14:paraId="3715B9DF">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事业单位医疗</w:t>
            </w:r>
          </w:p>
        </w:tc>
        <w:tc>
          <w:tcPr>
            <w:tcW w:w="3000" w:type="dxa"/>
            <w:tcBorders>
              <w:top w:val="nil"/>
              <w:left w:val="nil"/>
              <w:bottom w:val="single" w:color="auto" w:sz="8" w:space="0"/>
              <w:right w:val="single" w:color="auto" w:sz="4" w:space="0"/>
            </w:tcBorders>
            <w:shd w:val="clear" w:color="auto" w:fill="auto"/>
            <w:vAlign w:val="center"/>
          </w:tcPr>
          <w:p w14:paraId="63AA497A">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1.72</w:t>
            </w:r>
          </w:p>
        </w:tc>
        <w:tc>
          <w:tcPr>
            <w:tcW w:w="3492" w:type="dxa"/>
            <w:tcBorders>
              <w:top w:val="nil"/>
              <w:left w:val="nil"/>
              <w:bottom w:val="single" w:color="auto" w:sz="8" w:space="0"/>
              <w:right w:val="single" w:color="auto" w:sz="4" w:space="0"/>
            </w:tcBorders>
            <w:shd w:val="clear" w:color="auto" w:fill="auto"/>
            <w:vAlign w:val="center"/>
          </w:tcPr>
          <w:p w14:paraId="6C59095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1.72</w:t>
            </w:r>
          </w:p>
        </w:tc>
        <w:tc>
          <w:tcPr>
            <w:tcW w:w="3000" w:type="dxa"/>
            <w:tcBorders>
              <w:top w:val="nil"/>
              <w:left w:val="nil"/>
              <w:bottom w:val="single" w:color="auto" w:sz="8" w:space="0"/>
              <w:right w:val="single" w:color="auto" w:sz="8" w:space="0"/>
            </w:tcBorders>
            <w:shd w:val="clear" w:color="auto" w:fill="auto"/>
            <w:vAlign w:val="center"/>
          </w:tcPr>
          <w:p w14:paraId="3273CEF7">
            <w:pPr>
              <w:widowControl/>
              <w:jc w:val="left"/>
              <w:rPr>
                <w:rFonts w:ascii="Times New Roman" w:hAnsi="Times New Roman" w:eastAsia="仿宋_GB2312" w:cs="Times New Roman"/>
                <w:kern w:val="0"/>
                <w:szCs w:val="21"/>
              </w:rPr>
            </w:pPr>
          </w:p>
        </w:tc>
      </w:tr>
      <w:tr w14:paraId="32172AC3">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2745123D">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212</w:t>
            </w:r>
          </w:p>
        </w:tc>
        <w:tc>
          <w:tcPr>
            <w:tcW w:w="3527" w:type="dxa"/>
            <w:tcBorders>
              <w:top w:val="nil"/>
              <w:left w:val="nil"/>
              <w:bottom w:val="single" w:color="auto" w:sz="8" w:space="0"/>
              <w:right w:val="single" w:color="auto" w:sz="4" w:space="0"/>
            </w:tcBorders>
            <w:shd w:val="clear" w:color="auto" w:fill="auto"/>
            <w:vAlign w:val="center"/>
          </w:tcPr>
          <w:p w14:paraId="5C22A34D">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城乡社区支出</w:t>
            </w:r>
          </w:p>
        </w:tc>
        <w:tc>
          <w:tcPr>
            <w:tcW w:w="3000" w:type="dxa"/>
            <w:tcBorders>
              <w:top w:val="nil"/>
              <w:left w:val="nil"/>
              <w:bottom w:val="single" w:color="auto" w:sz="8" w:space="0"/>
              <w:right w:val="single" w:color="auto" w:sz="4" w:space="0"/>
            </w:tcBorders>
            <w:shd w:val="clear" w:color="auto" w:fill="auto"/>
            <w:vAlign w:val="center"/>
          </w:tcPr>
          <w:p w14:paraId="7D053027">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0.23</w:t>
            </w:r>
          </w:p>
        </w:tc>
        <w:tc>
          <w:tcPr>
            <w:tcW w:w="3492" w:type="dxa"/>
            <w:tcBorders>
              <w:top w:val="nil"/>
              <w:left w:val="nil"/>
              <w:bottom w:val="single" w:color="auto" w:sz="8" w:space="0"/>
              <w:right w:val="single" w:color="auto" w:sz="4" w:space="0"/>
            </w:tcBorders>
            <w:shd w:val="clear" w:color="auto" w:fill="auto"/>
            <w:vAlign w:val="center"/>
          </w:tcPr>
          <w:p w14:paraId="5DB31B19">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0.23</w:t>
            </w:r>
          </w:p>
        </w:tc>
        <w:tc>
          <w:tcPr>
            <w:tcW w:w="3000" w:type="dxa"/>
            <w:tcBorders>
              <w:top w:val="nil"/>
              <w:left w:val="nil"/>
              <w:bottom w:val="single" w:color="auto" w:sz="8" w:space="0"/>
              <w:right w:val="single" w:color="auto" w:sz="8" w:space="0"/>
            </w:tcBorders>
            <w:shd w:val="clear" w:color="auto" w:fill="auto"/>
            <w:vAlign w:val="center"/>
          </w:tcPr>
          <w:p w14:paraId="6D06F545">
            <w:pPr>
              <w:widowControl/>
              <w:jc w:val="left"/>
              <w:rPr>
                <w:rFonts w:ascii="Times New Roman" w:hAnsi="Times New Roman" w:eastAsia="仿宋_GB2312" w:cs="Times New Roman"/>
                <w:kern w:val="0"/>
                <w:szCs w:val="21"/>
              </w:rPr>
            </w:pPr>
          </w:p>
        </w:tc>
      </w:tr>
      <w:tr w14:paraId="11A6EB2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7D1932EC">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21201</w:t>
            </w:r>
          </w:p>
        </w:tc>
        <w:tc>
          <w:tcPr>
            <w:tcW w:w="3527" w:type="dxa"/>
            <w:tcBorders>
              <w:top w:val="nil"/>
              <w:left w:val="nil"/>
              <w:bottom w:val="single" w:color="auto" w:sz="8" w:space="0"/>
              <w:right w:val="single" w:color="auto" w:sz="4" w:space="0"/>
            </w:tcBorders>
            <w:shd w:val="clear" w:color="auto" w:fill="auto"/>
            <w:vAlign w:val="center"/>
          </w:tcPr>
          <w:p w14:paraId="15123AE3">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城乡社区管理事务</w:t>
            </w:r>
          </w:p>
        </w:tc>
        <w:tc>
          <w:tcPr>
            <w:tcW w:w="3000" w:type="dxa"/>
            <w:tcBorders>
              <w:top w:val="nil"/>
              <w:left w:val="nil"/>
              <w:bottom w:val="single" w:color="auto" w:sz="8" w:space="0"/>
              <w:right w:val="single" w:color="auto" w:sz="4" w:space="0"/>
            </w:tcBorders>
            <w:shd w:val="clear" w:color="auto" w:fill="auto"/>
            <w:vAlign w:val="center"/>
          </w:tcPr>
          <w:p w14:paraId="688FA9D9">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0.23</w:t>
            </w:r>
          </w:p>
        </w:tc>
        <w:tc>
          <w:tcPr>
            <w:tcW w:w="3492" w:type="dxa"/>
            <w:tcBorders>
              <w:top w:val="nil"/>
              <w:left w:val="nil"/>
              <w:bottom w:val="single" w:color="auto" w:sz="8" w:space="0"/>
              <w:right w:val="single" w:color="auto" w:sz="4" w:space="0"/>
            </w:tcBorders>
            <w:shd w:val="clear" w:color="auto" w:fill="auto"/>
            <w:vAlign w:val="center"/>
          </w:tcPr>
          <w:p w14:paraId="7D49BD44">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0.23</w:t>
            </w:r>
          </w:p>
        </w:tc>
        <w:tc>
          <w:tcPr>
            <w:tcW w:w="3000" w:type="dxa"/>
            <w:tcBorders>
              <w:top w:val="nil"/>
              <w:left w:val="nil"/>
              <w:bottom w:val="single" w:color="auto" w:sz="8" w:space="0"/>
              <w:right w:val="single" w:color="auto" w:sz="8" w:space="0"/>
            </w:tcBorders>
            <w:shd w:val="clear" w:color="auto" w:fill="auto"/>
            <w:vAlign w:val="center"/>
          </w:tcPr>
          <w:p w14:paraId="7DD74F7A">
            <w:pPr>
              <w:widowControl/>
              <w:jc w:val="left"/>
              <w:rPr>
                <w:rFonts w:ascii="Times New Roman" w:hAnsi="Times New Roman" w:eastAsia="仿宋_GB2312" w:cs="Times New Roman"/>
                <w:kern w:val="0"/>
                <w:szCs w:val="21"/>
              </w:rPr>
            </w:pPr>
          </w:p>
        </w:tc>
      </w:tr>
      <w:tr w14:paraId="4250AF8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C2A74A6">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2120199</w:t>
            </w:r>
          </w:p>
        </w:tc>
        <w:tc>
          <w:tcPr>
            <w:tcW w:w="3527" w:type="dxa"/>
            <w:tcBorders>
              <w:top w:val="nil"/>
              <w:left w:val="nil"/>
              <w:bottom w:val="single" w:color="auto" w:sz="8" w:space="0"/>
              <w:right w:val="single" w:color="auto" w:sz="4" w:space="0"/>
            </w:tcBorders>
            <w:shd w:val="clear" w:color="auto" w:fill="auto"/>
            <w:vAlign w:val="center"/>
          </w:tcPr>
          <w:p w14:paraId="2E1FF636">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其他城乡社区管理事务支出</w:t>
            </w:r>
          </w:p>
        </w:tc>
        <w:tc>
          <w:tcPr>
            <w:tcW w:w="3000" w:type="dxa"/>
            <w:tcBorders>
              <w:top w:val="nil"/>
              <w:left w:val="nil"/>
              <w:bottom w:val="single" w:color="auto" w:sz="8" w:space="0"/>
              <w:right w:val="single" w:color="auto" w:sz="4" w:space="0"/>
            </w:tcBorders>
            <w:shd w:val="clear" w:color="auto" w:fill="auto"/>
            <w:vAlign w:val="center"/>
          </w:tcPr>
          <w:p w14:paraId="306F77BD">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0.23</w:t>
            </w:r>
          </w:p>
        </w:tc>
        <w:tc>
          <w:tcPr>
            <w:tcW w:w="3492" w:type="dxa"/>
            <w:tcBorders>
              <w:top w:val="nil"/>
              <w:left w:val="nil"/>
              <w:bottom w:val="single" w:color="auto" w:sz="8" w:space="0"/>
              <w:right w:val="single" w:color="auto" w:sz="4" w:space="0"/>
            </w:tcBorders>
            <w:shd w:val="clear" w:color="auto" w:fill="auto"/>
            <w:vAlign w:val="center"/>
          </w:tcPr>
          <w:p w14:paraId="46D62811">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0.23</w:t>
            </w:r>
          </w:p>
        </w:tc>
        <w:tc>
          <w:tcPr>
            <w:tcW w:w="3000" w:type="dxa"/>
            <w:tcBorders>
              <w:top w:val="nil"/>
              <w:left w:val="nil"/>
              <w:bottom w:val="single" w:color="auto" w:sz="8" w:space="0"/>
              <w:right w:val="single" w:color="auto" w:sz="8" w:space="0"/>
            </w:tcBorders>
            <w:shd w:val="clear" w:color="auto" w:fill="auto"/>
            <w:vAlign w:val="center"/>
          </w:tcPr>
          <w:p w14:paraId="36EE512E">
            <w:pPr>
              <w:widowControl/>
              <w:jc w:val="left"/>
              <w:rPr>
                <w:rFonts w:ascii="Times New Roman" w:hAnsi="Times New Roman" w:eastAsia="仿宋_GB2312" w:cs="Times New Roman"/>
                <w:kern w:val="0"/>
                <w:szCs w:val="21"/>
              </w:rPr>
            </w:pPr>
          </w:p>
        </w:tc>
      </w:tr>
      <w:tr w14:paraId="7A7DED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1FC52DCD">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229</w:t>
            </w:r>
          </w:p>
        </w:tc>
        <w:tc>
          <w:tcPr>
            <w:tcW w:w="3527" w:type="dxa"/>
            <w:tcBorders>
              <w:top w:val="nil"/>
              <w:left w:val="nil"/>
              <w:bottom w:val="single" w:color="auto" w:sz="8" w:space="0"/>
              <w:right w:val="single" w:color="auto" w:sz="4" w:space="0"/>
            </w:tcBorders>
            <w:shd w:val="clear" w:color="auto" w:fill="auto"/>
            <w:vAlign w:val="center"/>
          </w:tcPr>
          <w:p w14:paraId="203C13C6">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其他支出</w:t>
            </w:r>
          </w:p>
        </w:tc>
        <w:tc>
          <w:tcPr>
            <w:tcW w:w="3000" w:type="dxa"/>
            <w:tcBorders>
              <w:top w:val="nil"/>
              <w:left w:val="nil"/>
              <w:bottom w:val="single" w:color="auto" w:sz="8" w:space="0"/>
              <w:right w:val="single" w:color="auto" w:sz="4" w:space="0"/>
            </w:tcBorders>
            <w:shd w:val="clear" w:color="auto" w:fill="auto"/>
            <w:vAlign w:val="center"/>
          </w:tcPr>
          <w:p w14:paraId="4114F2D6">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1.59</w:t>
            </w:r>
          </w:p>
        </w:tc>
        <w:tc>
          <w:tcPr>
            <w:tcW w:w="3492" w:type="dxa"/>
            <w:tcBorders>
              <w:top w:val="nil"/>
              <w:left w:val="nil"/>
              <w:bottom w:val="single" w:color="auto" w:sz="8" w:space="0"/>
              <w:right w:val="single" w:color="auto" w:sz="4" w:space="0"/>
            </w:tcBorders>
            <w:shd w:val="clear" w:color="auto" w:fill="auto"/>
            <w:vAlign w:val="center"/>
          </w:tcPr>
          <w:p w14:paraId="4B8593D6">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1.59</w:t>
            </w:r>
          </w:p>
        </w:tc>
        <w:tc>
          <w:tcPr>
            <w:tcW w:w="3000" w:type="dxa"/>
            <w:tcBorders>
              <w:top w:val="nil"/>
              <w:left w:val="nil"/>
              <w:bottom w:val="single" w:color="auto" w:sz="8" w:space="0"/>
              <w:right w:val="single" w:color="auto" w:sz="8" w:space="0"/>
            </w:tcBorders>
            <w:shd w:val="clear" w:color="auto" w:fill="auto"/>
            <w:vAlign w:val="center"/>
          </w:tcPr>
          <w:p w14:paraId="0CF067EA">
            <w:pPr>
              <w:widowControl/>
              <w:jc w:val="left"/>
              <w:rPr>
                <w:rFonts w:ascii="Times New Roman" w:hAnsi="Times New Roman" w:eastAsia="仿宋_GB2312" w:cs="Times New Roman"/>
                <w:kern w:val="0"/>
                <w:szCs w:val="21"/>
              </w:rPr>
            </w:pPr>
          </w:p>
        </w:tc>
      </w:tr>
      <w:tr w14:paraId="74EAB05C">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05EECD78">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22999</w:t>
            </w:r>
          </w:p>
        </w:tc>
        <w:tc>
          <w:tcPr>
            <w:tcW w:w="3527" w:type="dxa"/>
            <w:tcBorders>
              <w:top w:val="nil"/>
              <w:left w:val="nil"/>
              <w:bottom w:val="single" w:color="auto" w:sz="8" w:space="0"/>
              <w:right w:val="single" w:color="auto" w:sz="4" w:space="0"/>
            </w:tcBorders>
            <w:shd w:val="clear" w:color="auto" w:fill="auto"/>
            <w:vAlign w:val="center"/>
          </w:tcPr>
          <w:p w14:paraId="6C3BC01C">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其他支出</w:t>
            </w:r>
          </w:p>
        </w:tc>
        <w:tc>
          <w:tcPr>
            <w:tcW w:w="3000" w:type="dxa"/>
            <w:tcBorders>
              <w:top w:val="nil"/>
              <w:left w:val="nil"/>
              <w:bottom w:val="single" w:color="auto" w:sz="8" w:space="0"/>
              <w:right w:val="single" w:color="auto" w:sz="4" w:space="0"/>
            </w:tcBorders>
            <w:shd w:val="clear" w:color="auto" w:fill="auto"/>
            <w:vAlign w:val="center"/>
          </w:tcPr>
          <w:p w14:paraId="4251E4F3">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1.59</w:t>
            </w:r>
          </w:p>
        </w:tc>
        <w:tc>
          <w:tcPr>
            <w:tcW w:w="3492" w:type="dxa"/>
            <w:tcBorders>
              <w:top w:val="nil"/>
              <w:left w:val="nil"/>
              <w:bottom w:val="single" w:color="auto" w:sz="8" w:space="0"/>
              <w:right w:val="single" w:color="auto" w:sz="4" w:space="0"/>
            </w:tcBorders>
            <w:shd w:val="clear" w:color="auto" w:fill="auto"/>
            <w:vAlign w:val="center"/>
          </w:tcPr>
          <w:p w14:paraId="6364D7CA">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1.59</w:t>
            </w:r>
            <w:r>
              <w:rPr>
                <w:rFonts w:ascii="Times New Roman" w:hAnsi="Times New Roman" w:eastAsia="仿宋_GB2312" w:cs="Times New Roman"/>
                <w:kern w:val="0"/>
                <w:sz w:val="24"/>
                <w:szCs w:val="24"/>
              </w:rPr>
              <w:t>　</w:t>
            </w:r>
          </w:p>
        </w:tc>
        <w:tc>
          <w:tcPr>
            <w:tcW w:w="3000" w:type="dxa"/>
            <w:tcBorders>
              <w:top w:val="nil"/>
              <w:left w:val="nil"/>
              <w:bottom w:val="single" w:color="auto" w:sz="8" w:space="0"/>
              <w:right w:val="single" w:color="auto" w:sz="8" w:space="0"/>
            </w:tcBorders>
            <w:shd w:val="clear" w:color="auto" w:fill="auto"/>
            <w:vAlign w:val="center"/>
          </w:tcPr>
          <w:p w14:paraId="7802ACE2">
            <w:pPr>
              <w:widowControl/>
              <w:jc w:val="left"/>
              <w:rPr>
                <w:rFonts w:ascii="Times New Roman" w:hAnsi="Times New Roman" w:eastAsia="仿宋_GB2312" w:cs="Times New Roman"/>
                <w:kern w:val="0"/>
                <w:szCs w:val="21"/>
              </w:rPr>
            </w:pPr>
          </w:p>
        </w:tc>
      </w:tr>
      <w:tr w14:paraId="4A45B004">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3212212A">
            <w:pPr>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2299999</w:t>
            </w:r>
          </w:p>
        </w:tc>
        <w:tc>
          <w:tcPr>
            <w:tcW w:w="3527" w:type="dxa"/>
            <w:tcBorders>
              <w:top w:val="nil"/>
              <w:left w:val="nil"/>
              <w:bottom w:val="single" w:color="auto" w:sz="8" w:space="0"/>
              <w:right w:val="single" w:color="auto" w:sz="4" w:space="0"/>
            </w:tcBorders>
            <w:shd w:val="clear" w:color="auto" w:fill="auto"/>
            <w:vAlign w:val="center"/>
          </w:tcPr>
          <w:p w14:paraId="7C70C580">
            <w:pPr>
              <w:rPr>
                <w:rFonts w:ascii="Times New Roman" w:hAnsi="Times New Roman" w:eastAsia="仿宋_GB2312" w:cs="Times New Roman"/>
                <w:kern w:val="0"/>
                <w:szCs w:val="21"/>
              </w:rPr>
            </w:pPr>
            <w:r>
              <w:rPr>
                <w:rFonts w:hint="eastAsia" w:ascii="Times New Roman" w:hAnsi="Times New Roman" w:eastAsia="仿宋_GB2312" w:cs="Times New Roman"/>
                <w:lang w:eastAsia="zh-CN"/>
              </w:rPr>
              <w:t>其他支出</w:t>
            </w:r>
          </w:p>
        </w:tc>
        <w:tc>
          <w:tcPr>
            <w:tcW w:w="3000" w:type="dxa"/>
            <w:tcBorders>
              <w:top w:val="nil"/>
              <w:left w:val="nil"/>
              <w:bottom w:val="single" w:color="auto" w:sz="8" w:space="0"/>
              <w:right w:val="single" w:color="auto" w:sz="4" w:space="0"/>
            </w:tcBorders>
            <w:shd w:val="clear" w:color="auto" w:fill="auto"/>
            <w:vAlign w:val="center"/>
          </w:tcPr>
          <w:p w14:paraId="65515094">
            <w:pPr>
              <w:jc w:val="right"/>
              <w:rPr>
                <w:rFonts w:ascii="Times New Roman" w:hAnsi="Times New Roman" w:eastAsia="仿宋_GB2312" w:cs="Times New Roman"/>
                <w:kern w:val="0"/>
                <w:szCs w:val="21"/>
              </w:rPr>
            </w:pPr>
            <w:r>
              <w:rPr>
                <w:rFonts w:hint="eastAsia" w:ascii="Times New Roman" w:hAnsi="Times New Roman" w:eastAsia="仿宋_GB2312" w:cs="Times New Roman"/>
                <w:lang w:val="en-US" w:eastAsia="zh-CN"/>
              </w:rPr>
              <w:t>1.59</w:t>
            </w:r>
          </w:p>
        </w:tc>
        <w:tc>
          <w:tcPr>
            <w:tcW w:w="3492" w:type="dxa"/>
            <w:tcBorders>
              <w:top w:val="nil"/>
              <w:left w:val="nil"/>
              <w:bottom w:val="single" w:color="auto" w:sz="8" w:space="0"/>
              <w:right w:val="single" w:color="auto" w:sz="4" w:space="0"/>
            </w:tcBorders>
            <w:shd w:val="clear" w:color="auto" w:fill="auto"/>
            <w:vAlign w:val="center"/>
          </w:tcPr>
          <w:p w14:paraId="7C1F6AD0">
            <w:pPr>
              <w:widowControl/>
              <w:jc w:val="right"/>
              <w:rPr>
                <w:rFonts w:ascii="Times New Roman" w:hAnsi="Times New Roman" w:eastAsia="仿宋_GB2312" w:cs="Times New Roman"/>
                <w:kern w:val="0"/>
                <w:szCs w:val="21"/>
              </w:rPr>
            </w:pPr>
            <w:r>
              <w:rPr>
                <w:rFonts w:hint="eastAsia" w:ascii="Times New Roman" w:hAnsi="Times New Roman" w:eastAsia="仿宋_GB2312" w:cs="Times New Roman"/>
                <w:kern w:val="0"/>
                <w:sz w:val="24"/>
                <w:szCs w:val="24"/>
                <w:lang w:val="en-US" w:eastAsia="zh-CN"/>
              </w:rPr>
              <w:t>1.59</w:t>
            </w:r>
          </w:p>
        </w:tc>
        <w:tc>
          <w:tcPr>
            <w:tcW w:w="3000" w:type="dxa"/>
            <w:tcBorders>
              <w:top w:val="nil"/>
              <w:left w:val="nil"/>
              <w:bottom w:val="single" w:color="auto" w:sz="8" w:space="0"/>
              <w:right w:val="single" w:color="auto" w:sz="8" w:space="0"/>
            </w:tcBorders>
            <w:shd w:val="clear" w:color="auto" w:fill="auto"/>
            <w:vAlign w:val="center"/>
          </w:tcPr>
          <w:p w14:paraId="7F4F4397">
            <w:pPr>
              <w:widowControl/>
              <w:jc w:val="left"/>
              <w:rPr>
                <w:rFonts w:ascii="Times New Roman" w:hAnsi="Times New Roman" w:eastAsia="仿宋_GB2312" w:cs="Times New Roman"/>
                <w:kern w:val="0"/>
                <w:szCs w:val="21"/>
              </w:rPr>
            </w:pPr>
          </w:p>
        </w:tc>
      </w:tr>
    </w:tbl>
    <w:p w14:paraId="6FE15067">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0E8BF189">
      <w:pPr>
        <w:widowControl/>
        <w:jc w:val="left"/>
        <w:rPr>
          <w:rFonts w:ascii="Times New Roman" w:hAnsi="Times New Roman" w:eastAsia="仿宋_GB2312" w:cs="Times New Roman"/>
          <w:bCs/>
          <w:kern w:val="0"/>
          <w:szCs w:val="21"/>
        </w:rPr>
      </w:pPr>
    </w:p>
    <w:p w14:paraId="33262F92">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5AFFA71A">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B43846F">
      <w:pPr>
        <w:widowControl/>
        <w:wordWrap/>
        <w:spacing w:line="240" w:lineRule="exact"/>
        <w:ind w:left="13020" w:hanging="13020" w:hangingChars="62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eastAsia="zh-CN"/>
        </w:rPr>
        <w:t>蓝山县民兵训练基地管理中心</w:t>
      </w:r>
      <w:r>
        <w:rPr>
          <w:rFonts w:ascii="Times New Roman" w:hAnsi="Times New Roman" w:eastAsia="仿宋_GB2312" w:cs="Times New Roman"/>
          <w:color w:val="000000"/>
          <w:kern w:val="0"/>
          <w:szCs w:val="21"/>
        </w:rPr>
        <w:t xml:space="preserve">                                                                                                             公开06表</w:t>
      </w:r>
    </w:p>
    <w:p w14:paraId="16D1EABE">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8"/>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68702B27">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5865C44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6CF004F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299616A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1358DA8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991AB3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134AE259">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0828F3D8">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2ABBC79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585C8B70">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22F3FBB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BDD4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14:paraId="67D184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14:paraId="6DA1D79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39.22</w:t>
            </w:r>
          </w:p>
        </w:tc>
        <w:tc>
          <w:tcPr>
            <w:tcW w:w="1116" w:type="dxa"/>
            <w:tcBorders>
              <w:top w:val="nil"/>
              <w:left w:val="nil"/>
              <w:bottom w:val="single" w:color="auto" w:sz="4" w:space="0"/>
              <w:right w:val="single" w:color="auto" w:sz="4" w:space="0"/>
            </w:tcBorders>
            <w:shd w:val="clear" w:color="auto" w:fill="auto"/>
            <w:noWrap/>
            <w:vAlign w:val="center"/>
          </w:tcPr>
          <w:p w14:paraId="10DF287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14:paraId="7FA909D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14:paraId="1C1E7E5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34.47</w:t>
            </w:r>
          </w:p>
        </w:tc>
        <w:tc>
          <w:tcPr>
            <w:tcW w:w="1217" w:type="dxa"/>
            <w:tcBorders>
              <w:top w:val="nil"/>
              <w:left w:val="nil"/>
              <w:bottom w:val="single" w:color="auto" w:sz="4" w:space="0"/>
              <w:right w:val="single" w:color="auto" w:sz="4" w:space="0"/>
            </w:tcBorders>
            <w:shd w:val="clear" w:color="auto" w:fill="auto"/>
            <w:noWrap/>
            <w:vAlign w:val="center"/>
          </w:tcPr>
          <w:p w14:paraId="79F29A4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14:paraId="3FC268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14:paraId="6BDE84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BC9AAD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458D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14:paraId="3B1DFA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14:paraId="79EDE74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12.46</w:t>
            </w:r>
          </w:p>
        </w:tc>
        <w:tc>
          <w:tcPr>
            <w:tcW w:w="1116" w:type="dxa"/>
            <w:tcBorders>
              <w:top w:val="nil"/>
              <w:left w:val="nil"/>
              <w:bottom w:val="single" w:color="auto" w:sz="4" w:space="0"/>
              <w:right w:val="single" w:color="auto" w:sz="4" w:space="0"/>
            </w:tcBorders>
            <w:shd w:val="clear" w:color="auto" w:fill="auto"/>
            <w:noWrap/>
            <w:vAlign w:val="center"/>
          </w:tcPr>
          <w:p w14:paraId="5D1BFE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14:paraId="5E2AEE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14:paraId="490078CB">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3.95</w:t>
            </w:r>
          </w:p>
        </w:tc>
        <w:tc>
          <w:tcPr>
            <w:tcW w:w="1217" w:type="dxa"/>
            <w:tcBorders>
              <w:top w:val="nil"/>
              <w:left w:val="nil"/>
              <w:bottom w:val="single" w:color="auto" w:sz="4" w:space="0"/>
              <w:right w:val="single" w:color="auto" w:sz="4" w:space="0"/>
            </w:tcBorders>
            <w:shd w:val="clear" w:color="auto" w:fill="auto"/>
            <w:noWrap/>
            <w:vAlign w:val="center"/>
          </w:tcPr>
          <w:p w14:paraId="6023B14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14:paraId="52AA8C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14:paraId="0B7BF2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5404D7A">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34F6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14:paraId="564272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14:paraId="2E0636C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0.06</w:t>
            </w:r>
          </w:p>
        </w:tc>
        <w:tc>
          <w:tcPr>
            <w:tcW w:w="1116" w:type="dxa"/>
            <w:tcBorders>
              <w:top w:val="nil"/>
              <w:left w:val="nil"/>
              <w:bottom w:val="single" w:color="auto" w:sz="4" w:space="0"/>
              <w:right w:val="single" w:color="auto" w:sz="4" w:space="0"/>
            </w:tcBorders>
            <w:shd w:val="clear" w:color="auto" w:fill="auto"/>
            <w:noWrap/>
            <w:vAlign w:val="center"/>
          </w:tcPr>
          <w:p w14:paraId="321B33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14:paraId="1BEAC1D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14:paraId="7D26E0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E28777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14:paraId="0E8D37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14:paraId="1E5F75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E9470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53B74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14:paraId="0DF353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14:paraId="326145B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5.78</w:t>
            </w:r>
          </w:p>
        </w:tc>
        <w:tc>
          <w:tcPr>
            <w:tcW w:w="1116" w:type="dxa"/>
            <w:tcBorders>
              <w:top w:val="nil"/>
              <w:left w:val="nil"/>
              <w:bottom w:val="single" w:color="auto" w:sz="4" w:space="0"/>
              <w:right w:val="single" w:color="auto" w:sz="4" w:space="0"/>
            </w:tcBorders>
            <w:shd w:val="clear" w:color="auto" w:fill="auto"/>
            <w:noWrap/>
            <w:vAlign w:val="center"/>
          </w:tcPr>
          <w:p w14:paraId="5F78DF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14:paraId="557AB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14:paraId="0251EE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4095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14:paraId="62508B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14:paraId="7A0078A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0.98</w:t>
            </w:r>
          </w:p>
        </w:tc>
      </w:tr>
      <w:tr w14:paraId="1E53224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6919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14:paraId="797639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14:paraId="5CA9FE9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1.24</w:t>
            </w:r>
          </w:p>
        </w:tc>
        <w:tc>
          <w:tcPr>
            <w:tcW w:w="1116" w:type="dxa"/>
            <w:tcBorders>
              <w:top w:val="nil"/>
              <w:left w:val="nil"/>
              <w:bottom w:val="single" w:color="auto" w:sz="4" w:space="0"/>
              <w:right w:val="single" w:color="auto" w:sz="4" w:space="0"/>
            </w:tcBorders>
            <w:shd w:val="clear" w:color="auto" w:fill="auto"/>
            <w:noWrap/>
            <w:vAlign w:val="center"/>
          </w:tcPr>
          <w:p w14:paraId="1CCAE3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14:paraId="7AF2DD5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14:paraId="6E0B0AA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4474F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14:paraId="38B9BA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14:paraId="5389E0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26465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9EE8E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14:paraId="75ADD7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14:paraId="30490A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7.17</w:t>
            </w:r>
          </w:p>
        </w:tc>
        <w:tc>
          <w:tcPr>
            <w:tcW w:w="1116" w:type="dxa"/>
            <w:tcBorders>
              <w:top w:val="nil"/>
              <w:left w:val="nil"/>
              <w:bottom w:val="single" w:color="auto" w:sz="4" w:space="0"/>
              <w:right w:val="single" w:color="auto" w:sz="4" w:space="0"/>
            </w:tcBorders>
            <w:shd w:val="clear" w:color="auto" w:fill="auto"/>
            <w:noWrap/>
            <w:vAlign w:val="center"/>
          </w:tcPr>
          <w:p w14:paraId="5174E2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14:paraId="4DB0E8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14:paraId="26EA0CC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0.20</w:t>
            </w:r>
          </w:p>
        </w:tc>
        <w:tc>
          <w:tcPr>
            <w:tcW w:w="1217" w:type="dxa"/>
            <w:tcBorders>
              <w:top w:val="nil"/>
              <w:left w:val="nil"/>
              <w:bottom w:val="single" w:color="auto" w:sz="4" w:space="0"/>
              <w:right w:val="single" w:color="auto" w:sz="4" w:space="0"/>
            </w:tcBorders>
            <w:shd w:val="clear" w:color="auto" w:fill="auto"/>
            <w:noWrap/>
            <w:vAlign w:val="center"/>
          </w:tcPr>
          <w:p w14:paraId="11E2FFF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14:paraId="4DC724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14:paraId="75C2F70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0.19</w:t>
            </w:r>
          </w:p>
        </w:tc>
      </w:tr>
      <w:tr w14:paraId="5AB7C890">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312B9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14:paraId="4ECF22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14:paraId="6DA7D92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3.63</w:t>
            </w:r>
          </w:p>
        </w:tc>
        <w:tc>
          <w:tcPr>
            <w:tcW w:w="1116" w:type="dxa"/>
            <w:tcBorders>
              <w:top w:val="nil"/>
              <w:left w:val="nil"/>
              <w:bottom w:val="single" w:color="auto" w:sz="4" w:space="0"/>
              <w:right w:val="single" w:color="auto" w:sz="4" w:space="0"/>
            </w:tcBorders>
            <w:shd w:val="clear" w:color="auto" w:fill="auto"/>
            <w:noWrap/>
            <w:vAlign w:val="center"/>
          </w:tcPr>
          <w:p w14:paraId="67CB2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14:paraId="414A4A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14:paraId="48ABC8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C2B02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14:paraId="46AE62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14:paraId="11D66C7F">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0.65</w:t>
            </w:r>
          </w:p>
        </w:tc>
      </w:tr>
      <w:tr w14:paraId="559F25B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B56AD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14:paraId="1D72CA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14:paraId="4693315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0.04</w:t>
            </w:r>
          </w:p>
        </w:tc>
        <w:tc>
          <w:tcPr>
            <w:tcW w:w="1116" w:type="dxa"/>
            <w:tcBorders>
              <w:top w:val="nil"/>
              <w:left w:val="nil"/>
              <w:bottom w:val="single" w:color="auto" w:sz="4" w:space="0"/>
              <w:right w:val="single" w:color="auto" w:sz="4" w:space="0"/>
            </w:tcBorders>
            <w:shd w:val="clear" w:color="auto" w:fill="auto"/>
            <w:noWrap/>
            <w:vAlign w:val="center"/>
          </w:tcPr>
          <w:p w14:paraId="790538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14:paraId="54FD38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14:paraId="4AF19AF5">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0.55</w:t>
            </w:r>
          </w:p>
        </w:tc>
        <w:tc>
          <w:tcPr>
            <w:tcW w:w="1217" w:type="dxa"/>
            <w:tcBorders>
              <w:top w:val="nil"/>
              <w:left w:val="nil"/>
              <w:bottom w:val="single" w:color="auto" w:sz="4" w:space="0"/>
              <w:right w:val="single" w:color="auto" w:sz="4" w:space="0"/>
            </w:tcBorders>
            <w:shd w:val="clear" w:color="auto" w:fill="auto"/>
            <w:noWrap/>
            <w:vAlign w:val="center"/>
          </w:tcPr>
          <w:p w14:paraId="40999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14:paraId="541674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14:paraId="3DBAF13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37F858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40D803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14:paraId="56D8DA1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14:paraId="5AD157D6">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1.74</w:t>
            </w:r>
          </w:p>
        </w:tc>
        <w:tc>
          <w:tcPr>
            <w:tcW w:w="1116" w:type="dxa"/>
            <w:tcBorders>
              <w:top w:val="nil"/>
              <w:left w:val="nil"/>
              <w:bottom w:val="single" w:color="auto" w:sz="4" w:space="0"/>
              <w:right w:val="single" w:color="auto" w:sz="4" w:space="0"/>
            </w:tcBorders>
            <w:shd w:val="clear" w:color="auto" w:fill="auto"/>
            <w:noWrap/>
            <w:vAlign w:val="center"/>
          </w:tcPr>
          <w:p w14:paraId="018F08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14:paraId="1B7B479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14:paraId="5C8992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545A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14:paraId="40E1C7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14:paraId="48FE80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22A14A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A3F3A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14:paraId="5B44708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14:paraId="0ADA72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BCD15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14:paraId="688D497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14:paraId="0DB774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150EBFF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14:paraId="0D9B508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14:paraId="07B8A41E">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0.14</w:t>
            </w:r>
          </w:p>
        </w:tc>
      </w:tr>
      <w:tr w14:paraId="1BFB594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3815BE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14:paraId="58834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14:paraId="43AB52C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0.45</w:t>
            </w:r>
          </w:p>
        </w:tc>
        <w:tc>
          <w:tcPr>
            <w:tcW w:w="1116" w:type="dxa"/>
            <w:tcBorders>
              <w:top w:val="nil"/>
              <w:left w:val="nil"/>
              <w:bottom w:val="single" w:color="auto" w:sz="4" w:space="0"/>
              <w:right w:val="single" w:color="auto" w:sz="4" w:space="0"/>
            </w:tcBorders>
            <w:shd w:val="clear" w:color="auto" w:fill="auto"/>
            <w:noWrap/>
            <w:vAlign w:val="center"/>
          </w:tcPr>
          <w:p w14:paraId="3608FF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14:paraId="61936E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14:paraId="5DDD233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0.53</w:t>
            </w:r>
          </w:p>
        </w:tc>
        <w:tc>
          <w:tcPr>
            <w:tcW w:w="1217" w:type="dxa"/>
            <w:tcBorders>
              <w:top w:val="nil"/>
              <w:left w:val="nil"/>
              <w:bottom w:val="single" w:color="auto" w:sz="4" w:space="0"/>
              <w:right w:val="single" w:color="auto" w:sz="4" w:space="0"/>
            </w:tcBorders>
            <w:shd w:val="clear" w:color="auto" w:fill="auto"/>
            <w:noWrap/>
            <w:vAlign w:val="center"/>
          </w:tcPr>
          <w:p w14:paraId="3EF10F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14:paraId="5A6E050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14:paraId="6D4A7CC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A0B24C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746EAF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14:paraId="4B17861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14:paraId="5CD4E0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30412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14:paraId="103A07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14:paraId="6F2F4E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520EE64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14:paraId="7629B3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14:paraId="72B69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4BC04A8">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E4BE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14:paraId="03241D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14:paraId="69AF3E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25C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14:paraId="55EE83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14:paraId="09B1148D">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15.00</w:t>
            </w:r>
          </w:p>
        </w:tc>
        <w:tc>
          <w:tcPr>
            <w:tcW w:w="1217" w:type="dxa"/>
            <w:tcBorders>
              <w:top w:val="nil"/>
              <w:left w:val="nil"/>
              <w:bottom w:val="single" w:color="auto" w:sz="4" w:space="0"/>
              <w:right w:val="single" w:color="auto" w:sz="4" w:space="0"/>
            </w:tcBorders>
            <w:shd w:val="clear" w:color="auto" w:fill="auto"/>
            <w:noWrap/>
            <w:vAlign w:val="center"/>
          </w:tcPr>
          <w:p w14:paraId="12EAEA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14:paraId="13CA17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14:paraId="11BED0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17A4D6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7F62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14:paraId="2BEBF5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14:paraId="183A5E9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6.65</w:t>
            </w:r>
          </w:p>
        </w:tc>
        <w:tc>
          <w:tcPr>
            <w:tcW w:w="1116" w:type="dxa"/>
            <w:tcBorders>
              <w:top w:val="nil"/>
              <w:left w:val="nil"/>
              <w:bottom w:val="single" w:color="auto" w:sz="4" w:space="0"/>
              <w:right w:val="single" w:color="auto" w:sz="4" w:space="0"/>
            </w:tcBorders>
            <w:shd w:val="clear" w:color="auto" w:fill="auto"/>
            <w:noWrap/>
            <w:vAlign w:val="center"/>
          </w:tcPr>
          <w:p w14:paraId="5EA7EB8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14:paraId="1F5DDC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14:paraId="3C1953A7">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0.39</w:t>
            </w:r>
          </w:p>
        </w:tc>
        <w:tc>
          <w:tcPr>
            <w:tcW w:w="1217" w:type="dxa"/>
            <w:tcBorders>
              <w:top w:val="nil"/>
              <w:left w:val="nil"/>
              <w:bottom w:val="single" w:color="auto" w:sz="4" w:space="0"/>
              <w:right w:val="single" w:color="auto" w:sz="4" w:space="0"/>
            </w:tcBorders>
            <w:shd w:val="clear" w:color="auto" w:fill="auto"/>
            <w:noWrap/>
            <w:vAlign w:val="center"/>
          </w:tcPr>
          <w:p w14:paraId="363EC73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14:paraId="41262B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14:paraId="5C8593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5EFF06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61117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14:paraId="70D8882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671CBF3">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19.66</w:t>
            </w:r>
          </w:p>
        </w:tc>
        <w:tc>
          <w:tcPr>
            <w:tcW w:w="1116" w:type="dxa"/>
            <w:tcBorders>
              <w:top w:val="nil"/>
              <w:left w:val="nil"/>
              <w:bottom w:val="single" w:color="auto" w:sz="4" w:space="0"/>
              <w:right w:val="single" w:color="auto" w:sz="4" w:space="0"/>
            </w:tcBorders>
            <w:shd w:val="clear" w:color="auto" w:fill="auto"/>
            <w:noWrap/>
            <w:vAlign w:val="center"/>
          </w:tcPr>
          <w:p w14:paraId="18BDFE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14:paraId="3909C9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14:paraId="135BD6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16582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14:paraId="10DBDA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14:paraId="296129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680DF9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54F4882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14:paraId="3966EE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14:paraId="2E800E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7FD6B7E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14:paraId="159420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14:paraId="16F5296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1.50</w:t>
            </w:r>
          </w:p>
        </w:tc>
        <w:tc>
          <w:tcPr>
            <w:tcW w:w="1217" w:type="dxa"/>
            <w:tcBorders>
              <w:top w:val="nil"/>
              <w:left w:val="nil"/>
              <w:bottom w:val="single" w:color="auto" w:sz="4" w:space="0"/>
              <w:right w:val="single" w:color="auto" w:sz="4" w:space="0"/>
            </w:tcBorders>
            <w:shd w:val="clear" w:color="auto" w:fill="auto"/>
            <w:noWrap/>
            <w:vAlign w:val="center"/>
          </w:tcPr>
          <w:p w14:paraId="1589FE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14:paraId="3C90B0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14:paraId="7EE6A5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50FD782">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E5722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14:paraId="02DBD0B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14:paraId="211A17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CB70B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14:paraId="5A5818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14:paraId="1ED187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DFB1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14:paraId="5022E2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14:paraId="69172FC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0D0C26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C96EC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14:paraId="377A4A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14:paraId="659D3D0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DF10D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14:paraId="445BDB9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14:paraId="7B613278">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3.40</w:t>
            </w:r>
          </w:p>
        </w:tc>
        <w:tc>
          <w:tcPr>
            <w:tcW w:w="1217" w:type="dxa"/>
            <w:tcBorders>
              <w:top w:val="nil"/>
              <w:left w:val="nil"/>
              <w:bottom w:val="single" w:color="auto" w:sz="4" w:space="0"/>
              <w:right w:val="single" w:color="auto" w:sz="4" w:space="0"/>
            </w:tcBorders>
            <w:shd w:val="clear" w:color="auto" w:fill="auto"/>
            <w:noWrap/>
            <w:vAlign w:val="center"/>
          </w:tcPr>
          <w:p w14:paraId="1636D8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14:paraId="008B4C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14:paraId="17099D6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D38E9B7">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27DB62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14:paraId="3B9118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14:paraId="2F0871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44AF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14:paraId="2DE04EF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14:paraId="1577FB4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30CB37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14:paraId="269B8F6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14:paraId="36FFA96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17DD87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1CECF0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14:paraId="140E9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14:paraId="6055D25C">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19.66</w:t>
            </w:r>
          </w:p>
        </w:tc>
        <w:tc>
          <w:tcPr>
            <w:tcW w:w="1116" w:type="dxa"/>
            <w:tcBorders>
              <w:top w:val="nil"/>
              <w:left w:val="nil"/>
              <w:bottom w:val="single" w:color="auto" w:sz="4" w:space="0"/>
              <w:right w:val="single" w:color="auto" w:sz="4" w:space="0"/>
            </w:tcBorders>
            <w:shd w:val="clear" w:color="auto" w:fill="auto"/>
            <w:noWrap/>
            <w:vAlign w:val="center"/>
          </w:tcPr>
          <w:p w14:paraId="542CB9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14:paraId="694EB1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14:paraId="432EBD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26D61C6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14:paraId="20A82B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14:paraId="5A9E55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239896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55A7A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14:paraId="6BBCF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14:paraId="09CC1F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621D8B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14:paraId="645358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14:paraId="234CE401">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4.15</w:t>
            </w:r>
          </w:p>
        </w:tc>
        <w:tc>
          <w:tcPr>
            <w:tcW w:w="1217" w:type="dxa"/>
            <w:tcBorders>
              <w:top w:val="nil"/>
              <w:left w:val="nil"/>
              <w:bottom w:val="single" w:color="auto" w:sz="4" w:space="0"/>
              <w:right w:val="single" w:color="auto" w:sz="4" w:space="0"/>
            </w:tcBorders>
            <w:shd w:val="clear" w:color="auto" w:fill="auto"/>
            <w:noWrap/>
            <w:vAlign w:val="center"/>
          </w:tcPr>
          <w:p w14:paraId="4E1960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14:paraId="0F4067C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14:paraId="3B468FF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D81AF2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2345BC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14:paraId="406AD1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14:paraId="00D701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02F7D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14:paraId="16A509E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14:paraId="08E836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6A04D17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14:paraId="38A2813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14:paraId="450B37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B318264">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02324E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14:paraId="08A98F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14:paraId="63A24CC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F22D3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14:paraId="3489DD3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14:paraId="40E1BAC9">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1.75</w:t>
            </w:r>
          </w:p>
        </w:tc>
        <w:tc>
          <w:tcPr>
            <w:tcW w:w="1217" w:type="dxa"/>
            <w:tcBorders>
              <w:top w:val="nil"/>
              <w:left w:val="nil"/>
              <w:bottom w:val="single" w:color="auto" w:sz="4" w:space="0"/>
              <w:right w:val="single" w:color="auto" w:sz="4" w:space="0"/>
            </w:tcBorders>
            <w:shd w:val="clear" w:color="auto" w:fill="auto"/>
            <w:noWrap/>
            <w:vAlign w:val="center"/>
          </w:tcPr>
          <w:p w14:paraId="2321DED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14:paraId="63FDB46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14:paraId="509059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275E97BB">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14D71F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14:paraId="123B9A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14:paraId="0D15D01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5A32CB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14:paraId="2B2DB08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14:paraId="1083DE1A">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1.46</w:t>
            </w:r>
          </w:p>
        </w:tc>
        <w:tc>
          <w:tcPr>
            <w:tcW w:w="1217" w:type="dxa"/>
            <w:tcBorders>
              <w:top w:val="nil"/>
              <w:left w:val="nil"/>
              <w:bottom w:val="single" w:color="auto" w:sz="4" w:space="0"/>
              <w:right w:val="single" w:color="auto" w:sz="4" w:space="0"/>
            </w:tcBorders>
            <w:shd w:val="clear" w:color="auto" w:fill="auto"/>
            <w:noWrap/>
            <w:vAlign w:val="center"/>
          </w:tcPr>
          <w:p w14:paraId="2089322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14:paraId="2D05E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285BE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318BE6DE">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A2B717D">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6850A">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2C9998B2">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0D67">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5DF4279">
            <w:pPr>
              <w:widowControl/>
              <w:jc w:val="left"/>
              <w:rPr>
                <w:rFonts w:ascii="Times New Roman" w:hAnsi="Times New Roman" w:eastAsia="仿宋_GB2312" w:cs="Times New Roman"/>
                <w:color w:val="000000"/>
                <w:kern w:val="0"/>
                <w:szCs w:val="20"/>
              </w:rPr>
            </w:pPr>
          </w:p>
          <w:tbl>
            <w:tblPr>
              <w:tblStyle w:val="8"/>
              <w:tblW w:w="3946" w:type="dxa"/>
              <w:tblInd w:w="0" w:type="dxa"/>
              <w:tblLayout w:type="fixed"/>
              <w:tblCellMar>
                <w:top w:w="0" w:type="dxa"/>
                <w:left w:w="108" w:type="dxa"/>
                <w:bottom w:w="0" w:type="dxa"/>
                <w:right w:w="108" w:type="dxa"/>
              </w:tblCellMar>
            </w:tblPr>
            <w:tblGrid>
              <w:gridCol w:w="3946"/>
            </w:tblGrid>
            <w:tr w14:paraId="591C3ED3">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5A8CF">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420426D1">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79930">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116B9F67">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14:paraId="28B21F7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EB8ECC3">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5FC6C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14:paraId="6D3367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14:paraId="320C9B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3CB9355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14:paraId="7868347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14:paraId="449DD1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99892F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14:paraId="0C542E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14:paraId="0D02AF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66F3BB1E">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0FE4E4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14:paraId="35E32D4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14:paraId="2E5478B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48BCCF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14:paraId="74A7415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14:paraId="242747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4EC5EF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14:paraId="3BEC7F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14:paraId="7B9F5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74CA3645">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7E5C6FE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14:paraId="64754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14:paraId="71C32F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2652B29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14:paraId="5518D9D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14:paraId="2E2C243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14:paraId="7153B13D">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0DCCFE69">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7C418C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C14B0B1">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14:paraId="616E314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14:paraId="5FFE5D1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14:paraId="0262E18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14:paraId="603550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14:paraId="6F769C2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14:paraId="5F5AED10">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1.59</w:t>
            </w:r>
          </w:p>
        </w:tc>
        <w:tc>
          <w:tcPr>
            <w:tcW w:w="1217" w:type="dxa"/>
            <w:tcBorders>
              <w:top w:val="nil"/>
              <w:left w:val="nil"/>
              <w:bottom w:val="single" w:color="auto" w:sz="4" w:space="0"/>
              <w:right w:val="single" w:color="auto" w:sz="4" w:space="0"/>
            </w:tcBorders>
            <w:shd w:val="clear" w:color="auto" w:fill="auto"/>
            <w:noWrap/>
            <w:vAlign w:val="center"/>
          </w:tcPr>
          <w:p w14:paraId="0ADD93F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14:paraId="6945A0DB">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14:paraId="1754ACA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0999CE5B">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1DD68C4">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14:paraId="36B8DD12">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58.88</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14:paraId="4D3F606E">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14:paraId="68626C43">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35.44</w:t>
            </w:r>
          </w:p>
        </w:tc>
      </w:tr>
    </w:tbl>
    <w:p w14:paraId="682358C1">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47DAE4E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1E6D768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5F055FF">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蓝山县民兵训练基地管理中心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1EC17136">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88E52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5"/>
                <w:rFonts w:hint="default" w:ascii="Times New Roman" w:hAnsi="Times New Roman" w:eastAsia="仿宋_GB2312" w:cs="Times New Roman"/>
                <w:b/>
                <w:bCs/>
                <w:lang w:bidi="ar"/>
              </w:rPr>
              <w:t xml:space="preserve">   </w:t>
            </w:r>
            <w:r>
              <w:rPr>
                <w:rStyle w:val="16"/>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731C1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FDDFB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3F98DF">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96E4E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680C3EF2">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B088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0C261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017E3">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583A0">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FFEC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0FE8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9E93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7AD31">
            <w:pPr>
              <w:widowControl/>
              <w:jc w:val="center"/>
              <w:rPr>
                <w:rFonts w:ascii="Times New Roman" w:hAnsi="Times New Roman" w:eastAsia="仿宋_GB2312" w:cs="Times New Roman"/>
                <w:color w:val="000000"/>
                <w:sz w:val="24"/>
                <w:szCs w:val="24"/>
              </w:rPr>
            </w:pPr>
          </w:p>
        </w:tc>
      </w:tr>
      <w:tr w14:paraId="18853C3B">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28C8">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E475F9">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A58A4">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0F1B5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9A40E">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540CA">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66306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A7020">
            <w:pPr>
              <w:jc w:val="center"/>
              <w:rPr>
                <w:rFonts w:ascii="Times New Roman" w:hAnsi="Times New Roman" w:eastAsia="仿宋_GB2312" w:cs="Times New Roman"/>
                <w:color w:val="000000"/>
                <w:sz w:val="24"/>
                <w:szCs w:val="24"/>
              </w:rPr>
            </w:pPr>
          </w:p>
        </w:tc>
      </w:tr>
      <w:tr w14:paraId="1E397AF5">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98C85">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5865D">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4FEC2">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35534">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74814">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AF86F">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DD43">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179F8">
            <w:pPr>
              <w:jc w:val="center"/>
              <w:rPr>
                <w:rFonts w:ascii="Times New Roman" w:hAnsi="Times New Roman" w:eastAsia="仿宋_GB2312" w:cs="Times New Roman"/>
                <w:color w:val="000000"/>
                <w:sz w:val="24"/>
                <w:szCs w:val="24"/>
              </w:rPr>
            </w:pPr>
          </w:p>
        </w:tc>
      </w:tr>
      <w:tr w14:paraId="4EEDAA12">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E1F0C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3E8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529C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DFFF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1542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6473E">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CD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08796AC1">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40E3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F3F4E">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A3FA">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3EE5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871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099CB">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3AFDC">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03B422BD">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7DCD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406B2">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8FD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77B8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6558">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2C8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E3CBC">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73583">
            <w:pPr>
              <w:rPr>
                <w:rFonts w:ascii="Times New Roman" w:hAnsi="Times New Roman" w:eastAsia="仿宋_GB2312" w:cs="Times New Roman"/>
                <w:color w:val="000000"/>
                <w:sz w:val="24"/>
                <w:szCs w:val="24"/>
              </w:rPr>
            </w:pPr>
          </w:p>
        </w:tc>
      </w:tr>
      <w:tr w14:paraId="36DE4391">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406A5">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6AE4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0AF1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1F5B">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1DEE">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C0651">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EE97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EB2D7">
            <w:pPr>
              <w:rPr>
                <w:rFonts w:ascii="Times New Roman" w:hAnsi="Times New Roman" w:eastAsia="仿宋_GB2312" w:cs="Times New Roman"/>
                <w:color w:val="000000"/>
                <w:sz w:val="24"/>
                <w:szCs w:val="24"/>
              </w:rPr>
            </w:pPr>
          </w:p>
        </w:tc>
      </w:tr>
      <w:tr w14:paraId="3CEFDDF6">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C8C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78C0">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51E54">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99F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935F4">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845FD">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2D24">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C8215">
            <w:pPr>
              <w:rPr>
                <w:rFonts w:ascii="Times New Roman" w:hAnsi="Times New Roman" w:eastAsia="仿宋_GB2312" w:cs="Times New Roman"/>
                <w:color w:val="000000"/>
                <w:sz w:val="24"/>
                <w:szCs w:val="24"/>
              </w:rPr>
            </w:pPr>
          </w:p>
        </w:tc>
      </w:tr>
      <w:tr w14:paraId="45C11D75">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784C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A1AD2">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C0E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7D6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0B1C5">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182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F0BA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A5400">
            <w:pPr>
              <w:rPr>
                <w:rFonts w:ascii="Times New Roman" w:hAnsi="Times New Roman" w:eastAsia="仿宋_GB2312" w:cs="Times New Roman"/>
                <w:color w:val="000000"/>
                <w:sz w:val="24"/>
                <w:szCs w:val="24"/>
              </w:rPr>
            </w:pPr>
          </w:p>
        </w:tc>
      </w:tr>
      <w:tr w14:paraId="5DB01309">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B0332">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D8DC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B9068">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928D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C2597">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445B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93D3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D8297">
            <w:pPr>
              <w:rPr>
                <w:rFonts w:ascii="Times New Roman" w:hAnsi="Times New Roman" w:eastAsia="仿宋_GB2312" w:cs="Times New Roman"/>
                <w:color w:val="000000"/>
                <w:sz w:val="24"/>
                <w:szCs w:val="24"/>
              </w:rPr>
            </w:pPr>
          </w:p>
        </w:tc>
      </w:tr>
      <w:tr w14:paraId="0C321E9F">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493F0">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3A6C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E2A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695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DA34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91E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09C16">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6CA3A">
            <w:pPr>
              <w:rPr>
                <w:rFonts w:ascii="Times New Roman" w:hAnsi="Times New Roman" w:eastAsia="仿宋_GB2312" w:cs="Times New Roman"/>
                <w:color w:val="000000"/>
                <w:sz w:val="24"/>
                <w:szCs w:val="24"/>
              </w:rPr>
            </w:pPr>
          </w:p>
        </w:tc>
      </w:tr>
    </w:tbl>
    <w:p w14:paraId="4AC8A8B7">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10E00A26">
      <w:pPr>
        <w:widowControl/>
        <w:jc w:val="left"/>
        <w:textAlignment w:val="center"/>
        <w:rPr>
          <w:rFonts w:ascii="Times New Roman" w:hAnsi="Times New Roman" w:eastAsia="仿宋_GB2312" w:cs="Times New Roman"/>
          <w:color w:val="000000"/>
          <w:kern w:val="0"/>
          <w:sz w:val="24"/>
          <w:szCs w:val="24"/>
          <w:lang w:bidi="ar"/>
        </w:rPr>
      </w:pPr>
    </w:p>
    <w:p w14:paraId="607108C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w:t>
      </w:r>
    </w:p>
    <w:p w14:paraId="61CAC8ED">
      <w:pPr>
        <w:widowControl/>
        <w:spacing w:line="400" w:lineRule="exact"/>
        <w:textAlignment w:val="center"/>
        <w:rPr>
          <w:rFonts w:ascii="Times New Roman" w:hAnsi="Times New Roman" w:eastAsia="黑体" w:cs="Times New Roman"/>
          <w:color w:val="000000"/>
          <w:kern w:val="0"/>
          <w:sz w:val="36"/>
          <w:szCs w:val="36"/>
          <w:lang w:bidi="ar"/>
        </w:rPr>
      </w:pPr>
    </w:p>
    <w:p w14:paraId="678F5C70">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3044F80C">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14:paraId="6C15B935">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eastAsia="zh-CN" w:bidi="ar"/>
        </w:rPr>
        <w:t>蓝山县民兵训练基地管理中心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8"/>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14:paraId="52CFE106">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59317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7"/>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F7E5172">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261197CA">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709E9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41BB3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250054">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A9E3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EB36D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76578FB4">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15AE48">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B905E">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7DF10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2BD6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7934D">
            <w:pPr>
              <w:jc w:val="center"/>
              <w:rPr>
                <w:rFonts w:ascii="Times New Roman" w:hAnsi="Times New Roman" w:eastAsia="仿宋_GB2312" w:cs="Times New Roman"/>
                <w:color w:val="000000"/>
                <w:sz w:val="24"/>
                <w:szCs w:val="24"/>
              </w:rPr>
            </w:pPr>
          </w:p>
        </w:tc>
      </w:tr>
      <w:tr w14:paraId="4C16A801">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26EE2">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DC333">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B4C8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754BB">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86DDD">
            <w:pPr>
              <w:jc w:val="center"/>
              <w:rPr>
                <w:rFonts w:ascii="Times New Roman" w:hAnsi="Times New Roman" w:eastAsia="仿宋_GB2312" w:cs="Times New Roman"/>
                <w:color w:val="000000"/>
                <w:sz w:val="24"/>
                <w:szCs w:val="24"/>
              </w:rPr>
            </w:pPr>
          </w:p>
        </w:tc>
      </w:tr>
      <w:tr w14:paraId="70B440CD">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01AF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38B0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EBD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494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14E89769">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AEA60">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4CAB24">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F2F65">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9E5B1">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w:t>
            </w:r>
          </w:p>
        </w:tc>
      </w:tr>
      <w:tr w14:paraId="7AEC8164">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34F00">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6EF8">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A16F2">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F5C39">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00AE6">
            <w:pPr>
              <w:rPr>
                <w:rFonts w:ascii="Times New Roman" w:hAnsi="Times New Roman" w:eastAsia="仿宋_GB2312" w:cs="Times New Roman"/>
                <w:color w:val="000000"/>
                <w:sz w:val="24"/>
                <w:szCs w:val="24"/>
              </w:rPr>
            </w:pPr>
          </w:p>
        </w:tc>
      </w:tr>
      <w:tr w14:paraId="4FDCDD6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50437">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4031">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7AB0C">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C455">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12A1A">
            <w:pPr>
              <w:rPr>
                <w:rFonts w:ascii="Times New Roman" w:hAnsi="Times New Roman" w:eastAsia="仿宋_GB2312" w:cs="Times New Roman"/>
                <w:color w:val="000000"/>
                <w:sz w:val="24"/>
                <w:szCs w:val="24"/>
              </w:rPr>
            </w:pPr>
          </w:p>
        </w:tc>
      </w:tr>
      <w:tr w14:paraId="2B484AA9">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E8694">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83FA3">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256CF">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577D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01B2B">
            <w:pPr>
              <w:rPr>
                <w:rFonts w:ascii="Times New Roman" w:hAnsi="Times New Roman" w:eastAsia="宋体" w:cs="Times New Roman"/>
                <w:color w:val="000000"/>
                <w:sz w:val="24"/>
                <w:szCs w:val="24"/>
              </w:rPr>
            </w:pPr>
          </w:p>
        </w:tc>
      </w:tr>
      <w:tr w14:paraId="19104543">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75F81">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AEBCE">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49EB0">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5E28E">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2C804">
            <w:pPr>
              <w:rPr>
                <w:rFonts w:ascii="Times New Roman" w:hAnsi="Times New Roman" w:eastAsia="宋体" w:cs="Times New Roman"/>
                <w:color w:val="000000"/>
                <w:sz w:val="24"/>
                <w:szCs w:val="24"/>
              </w:rPr>
            </w:pPr>
          </w:p>
        </w:tc>
      </w:tr>
      <w:tr w14:paraId="0E691596">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ED199">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98207">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18C6D">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4D34">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9CDB8">
            <w:pPr>
              <w:rPr>
                <w:rFonts w:ascii="Times New Roman" w:hAnsi="Times New Roman" w:eastAsia="宋体" w:cs="Times New Roman"/>
                <w:color w:val="000000"/>
                <w:sz w:val="24"/>
                <w:szCs w:val="24"/>
              </w:rPr>
            </w:pPr>
          </w:p>
        </w:tc>
      </w:tr>
      <w:tr w14:paraId="2700A437">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9434F">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2B335">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0556B">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D3AC2">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725E6">
            <w:pPr>
              <w:rPr>
                <w:rFonts w:ascii="Times New Roman" w:hAnsi="Times New Roman" w:eastAsia="宋体" w:cs="Times New Roman"/>
                <w:color w:val="000000"/>
                <w:sz w:val="24"/>
                <w:szCs w:val="24"/>
              </w:rPr>
            </w:pPr>
          </w:p>
        </w:tc>
      </w:tr>
    </w:tbl>
    <w:p w14:paraId="0CDCCB98">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3E5E6E4">
      <w:pPr>
        <w:widowControl/>
        <w:jc w:val="left"/>
        <w:textAlignment w:val="center"/>
        <w:rPr>
          <w:rFonts w:ascii="Times New Roman" w:hAnsi="Times New Roman" w:eastAsia="宋体" w:cs="Times New Roman"/>
          <w:color w:val="000000"/>
          <w:kern w:val="0"/>
          <w:sz w:val="24"/>
          <w:szCs w:val="24"/>
          <w:lang w:bidi="ar"/>
        </w:rPr>
      </w:pPr>
    </w:p>
    <w:p w14:paraId="55B328B1">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w:t>
      </w:r>
    </w:p>
    <w:p w14:paraId="6654BC9C">
      <w:pPr>
        <w:widowControl/>
        <w:jc w:val="left"/>
        <w:textAlignment w:val="center"/>
        <w:rPr>
          <w:rFonts w:ascii="Times New Roman" w:hAnsi="Times New Roman" w:eastAsia="楷体_GB2312" w:cs="Times New Roman"/>
          <w:color w:val="000000"/>
          <w:kern w:val="0"/>
          <w:sz w:val="24"/>
          <w:szCs w:val="24"/>
          <w:lang w:bidi="ar"/>
        </w:rPr>
      </w:pPr>
    </w:p>
    <w:p w14:paraId="4226ADE6">
      <w:pPr>
        <w:widowControl/>
        <w:jc w:val="center"/>
        <w:rPr>
          <w:rFonts w:ascii="Times New Roman" w:hAnsi="Times New Roman" w:eastAsia="方正小标宋_GBK" w:cs="Times New Roman"/>
          <w:color w:val="000000"/>
          <w:kern w:val="0"/>
          <w:sz w:val="36"/>
          <w:szCs w:val="36"/>
        </w:rPr>
      </w:pPr>
    </w:p>
    <w:p w14:paraId="11B38E03">
      <w:pPr>
        <w:pStyle w:val="2"/>
        <w:spacing w:line="400" w:lineRule="exact"/>
        <w:rPr>
          <w:rFonts w:ascii="Times New Roman" w:hAnsi="Times New Roman" w:eastAsia="华文中宋" w:cs="Times New Roman"/>
          <w:color w:val="000000"/>
          <w:kern w:val="0"/>
          <w:sz w:val="32"/>
          <w:szCs w:val="32"/>
          <w:lang w:bidi="ar"/>
        </w:rPr>
      </w:pPr>
    </w:p>
    <w:p w14:paraId="1AC3AD1A">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658AF5E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56CFCE4B">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eastAsia="zh-CN" w:bidi="ar"/>
        </w:rPr>
        <w:t>蓝山县民兵训练基地管理中心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8"/>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01BDB2FE">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738848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BB4BB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7338C84">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8FA4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90245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F406E7">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E4E89">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C0C0D2">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C4067F">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80319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72182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2700CEE1">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56DDA">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5C988">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3772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C4D5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2D30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DA40B">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48855">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962B6">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F60E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A139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1DA66">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8FFEE">
            <w:pPr>
              <w:jc w:val="center"/>
              <w:rPr>
                <w:rFonts w:ascii="Times New Roman" w:hAnsi="Times New Roman" w:eastAsia="仿宋_GB2312" w:cs="Times New Roman"/>
                <w:color w:val="000000"/>
                <w:sz w:val="22"/>
              </w:rPr>
            </w:pPr>
          </w:p>
        </w:tc>
      </w:tr>
      <w:tr w14:paraId="366FBAEB">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99A5F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A34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C623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130D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0D5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C222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1D87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CAC0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3658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4B58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0B44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B04C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1DDCECC6">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01A3">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102D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24CE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C76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8BB6F">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11CBB">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F7500">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C72F7">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ACD5">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71F5D">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CF524">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0F3076">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w:t>
            </w:r>
          </w:p>
        </w:tc>
      </w:tr>
    </w:tbl>
    <w:p w14:paraId="794BBA3C">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305C8314">
      <w:pPr>
        <w:autoSpaceDE w:val="0"/>
        <w:autoSpaceDN w:val="0"/>
        <w:adjustRightInd w:val="0"/>
        <w:ind w:left="315" w:leftChars="150"/>
        <w:jc w:val="left"/>
        <w:rPr>
          <w:rFonts w:ascii="Times New Roman" w:hAnsi="Times New Roman" w:eastAsia="宋体" w:cs="Times New Roman"/>
          <w:kern w:val="0"/>
          <w:sz w:val="24"/>
          <w:szCs w:val="24"/>
        </w:rPr>
      </w:pPr>
    </w:p>
    <w:p w14:paraId="01B1AB69">
      <w:pPr>
        <w:autoSpaceDE w:val="0"/>
        <w:autoSpaceDN w:val="0"/>
        <w:adjustRightInd w:val="0"/>
        <w:ind w:left="315" w:leftChars="150"/>
        <w:jc w:val="left"/>
        <w:rPr>
          <w:rFonts w:ascii="Times New Roman" w:hAnsi="Times New Roman" w:eastAsia="宋体" w:cs="Times New Roman"/>
          <w:kern w:val="0"/>
          <w:sz w:val="24"/>
          <w:szCs w:val="24"/>
        </w:rPr>
      </w:pPr>
    </w:p>
    <w:p w14:paraId="2B02F367">
      <w:pPr>
        <w:autoSpaceDE w:val="0"/>
        <w:autoSpaceDN w:val="0"/>
        <w:adjustRightInd w:val="0"/>
        <w:ind w:left="315" w:leftChars="150"/>
        <w:jc w:val="left"/>
        <w:rPr>
          <w:rFonts w:ascii="Times New Roman" w:hAnsi="Times New Roman" w:eastAsia="宋体" w:cs="Times New Roman"/>
          <w:kern w:val="0"/>
          <w:sz w:val="24"/>
          <w:szCs w:val="24"/>
        </w:rPr>
      </w:pPr>
    </w:p>
    <w:p w14:paraId="4B4CA235">
      <w:pPr>
        <w:autoSpaceDE w:val="0"/>
        <w:autoSpaceDN w:val="0"/>
        <w:adjustRightInd w:val="0"/>
        <w:ind w:left="315" w:leftChars="150"/>
        <w:jc w:val="left"/>
        <w:rPr>
          <w:rFonts w:ascii="Times New Roman" w:hAnsi="Times New Roman" w:eastAsia="宋体" w:cs="Times New Roman"/>
          <w:kern w:val="0"/>
          <w:sz w:val="24"/>
          <w:szCs w:val="24"/>
        </w:rPr>
      </w:pPr>
    </w:p>
    <w:p w14:paraId="14B61420">
      <w:pPr>
        <w:autoSpaceDE w:val="0"/>
        <w:autoSpaceDN w:val="0"/>
        <w:adjustRightInd w:val="0"/>
        <w:ind w:left="315" w:leftChars="150"/>
        <w:jc w:val="left"/>
        <w:rPr>
          <w:rFonts w:ascii="Times New Roman" w:hAnsi="Times New Roman" w:eastAsia="宋体" w:cs="Times New Roman"/>
          <w:kern w:val="0"/>
          <w:sz w:val="24"/>
          <w:szCs w:val="24"/>
        </w:rPr>
      </w:pPr>
    </w:p>
    <w:p w14:paraId="1A96DF4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014A79B1">
      <w:pPr>
        <w:pStyle w:val="12"/>
        <w:rPr>
          <w:rFonts w:ascii="Times New Roman" w:hAnsi="Times New Roman" w:cs="Times New Roman"/>
          <w:sz w:val="72"/>
          <w:szCs w:val="72"/>
        </w:rPr>
      </w:pPr>
    </w:p>
    <w:p w14:paraId="741FFC22">
      <w:pPr>
        <w:pStyle w:val="12"/>
        <w:rPr>
          <w:rFonts w:ascii="Times New Roman" w:hAnsi="Times New Roman" w:cs="Times New Roman"/>
          <w:sz w:val="72"/>
          <w:szCs w:val="72"/>
        </w:rPr>
      </w:pPr>
    </w:p>
    <w:p w14:paraId="6955893C">
      <w:pPr>
        <w:pStyle w:val="12"/>
        <w:rPr>
          <w:rFonts w:ascii="Times New Roman" w:hAnsi="Times New Roman" w:cs="Times New Roman"/>
          <w:sz w:val="72"/>
          <w:szCs w:val="72"/>
        </w:rPr>
      </w:pPr>
    </w:p>
    <w:p w14:paraId="09548022">
      <w:pPr>
        <w:pStyle w:val="12"/>
        <w:jc w:val="center"/>
        <w:rPr>
          <w:rFonts w:ascii="Times New Roman" w:hAnsi="Times New Roman" w:cs="Times New Roman"/>
          <w:sz w:val="72"/>
          <w:szCs w:val="72"/>
        </w:rPr>
      </w:pPr>
    </w:p>
    <w:p w14:paraId="1E12787D">
      <w:pPr>
        <w:pStyle w:val="12"/>
        <w:jc w:val="center"/>
        <w:rPr>
          <w:rFonts w:ascii="Times New Roman" w:hAnsi="Times New Roman" w:eastAsia="方正小标宋_GBK" w:cs="Times New Roman"/>
          <w:sz w:val="72"/>
          <w:szCs w:val="72"/>
        </w:rPr>
      </w:pPr>
    </w:p>
    <w:p w14:paraId="1974472B">
      <w:pPr>
        <w:pStyle w:val="12"/>
        <w:spacing w:line="360" w:lineRule="auto"/>
        <w:jc w:val="center"/>
        <w:rPr>
          <w:rFonts w:hint="eastAsia" w:ascii="仿宋" w:hAnsi="仿宋" w:eastAsia="仿宋" w:cs="仿宋"/>
          <w:b/>
          <w:bCs/>
          <w:sz w:val="52"/>
          <w:szCs w:val="52"/>
        </w:rPr>
      </w:pPr>
      <w:r>
        <w:rPr>
          <w:rFonts w:hint="eastAsia" w:ascii="仿宋" w:hAnsi="仿宋" w:eastAsia="仿宋" w:cs="仿宋"/>
          <w:b/>
          <w:bCs/>
          <w:sz w:val="52"/>
          <w:szCs w:val="52"/>
        </w:rPr>
        <w:t>第三部分</w:t>
      </w:r>
    </w:p>
    <w:p w14:paraId="51F0E165">
      <w:pPr>
        <w:pStyle w:val="12"/>
        <w:spacing w:line="360" w:lineRule="auto"/>
        <w:jc w:val="center"/>
        <w:rPr>
          <w:rFonts w:hint="eastAsia" w:ascii="仿宋" w:hAnsi="仿宋" w:eastAsia="仿宋" w:cs="仿宋"/>
          <w:b/>
          <w:bCs/>
          <w:sz w:val="52"/>
          <w:szCs w:val="52"/>
        </w:rPr>
      </w:pPr>
      <w:r>
        <w:rPr>
          <w:rFonts w:hint="eastAsia" w:ascii="仿宋" w:hAnsi="仿宋" w:eastAsia="仿宋" w:cs="仿宋"/>
          <w:b/>
          <w:bCs/>
          <w:sz w:val="52"/>
          <w:szCs w:val="52"/>
        </w:rPr>
        <w:t>202</w:t>
      </w:r>
      <w:r>
        <w:rPr>
          <w:rFonts w:hint="eastAsia" w:ascii="仿宋" w:hAnsi="仿宋" w:eastAsia="仿宋" w:cs="仿宋"/>
          <w:b/>
          <w:bCs/>
          <w:sz w:val="52"/>
          <w:szCs w:val="52"/>
          <w:lang w:val="en-US" w:eastAsia="zh-CN"/>
        </w:rPr>
        <w:t>5</w:t>
      </w:r>
      <w:r>
        <w:rPr>
          <w:rFonts w:hint="eastAsia" w:ascii="仿宋" w:hAnsi="仿宋" w:eastAsia="仿宋" w:cs="仿宋"/>
          <w:b/>
          <w:bCs/>
          <w:sz w:val="52"/>
          <w:szCs w:val="52"/>
        </w:rPr>
        <w:t>年度部门决算情况说明</w:t>
      </w:r>
    </w:p>
    <w:p w14:paraId="239F3192">
      <w:pPr>
        <w:widowControl/>
        <w:jc w:val="left"/>
        <w:rPr>
          <w:rFonts w:hint="eastAsia" w:ascii="仿宋" w:hAnsi="仿宋" w:eastAsia="仿宋" w:cs="仿宋"/>
          <w:sz w:val="32"/>
          <w:szCs w:val="32"/>
        </w:rPr>
      </w:pPr>
      <w:r>
        <w:rPr>
          <w:rFonts w:hint="eastAsia" w:ascii="仿宋" w:hAnsi="仿宋" w:eastAsia="仿宋" w:cs="仿宋"/>
          <w:sz w:val="32"/>
          <w:szCs w:val="32"/>
        </w:rPr>
        <w:br w:type="page"/>
      </w:r>
    </w:p>
    <w:p w14:paraId="72824756">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一、收入支出决算总体情况说明</w:t>
      </w:r>
    </w:p>
    <w:p w14:paraId="244D7FC2">
      <w:pPr>
        <w:pStyle w:val="12"/>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年度收、支总计</w:t>
      </w:r>
      <w:r>
        <w:rPr>
          <w:rFonts w:hint="eastAsia" w:ascii="仿宋" w:hAnsi="仿宋" w:eastAsia="仿宋" w:cs="仿宋"/>
          <w:sz w:val="32"/>
          <w:szCs w:val="32"/>
          <w:lang w:val="en-US" w:eastAsia="zh-CN"/>
        </w:rPr>
        <w:t>94.32</w:t>
      </w:r>
      <w:r>
        <w:rPr>
          <w:rFonts w:hint="eastAsia" w:ascii="仿宋" w:hAnsi="仿宋" w:eastAsia="仿宋" w:cs="仿宋"/>
          <w:sz w:val="32"/>
          <w:szCs w:val="32"/>
        </w:rPr>
        <w:t>万元。与上年相比，增加</w:t>
      </w:r>
      <w:r>
        <w:rPr>
          <w:rFonts w:hint="eastAsia" w:ascii="仿宋" w:hAnsi="仿宋" w:eastAsia="仿宋" w:cs="仿宋"/>
          <w:sz w:val="32"/>
          <w:szCs w:val="32"/>
          <w:lang w:val="en-US" w:eastAsia="zh-CN"/>
        </w:rPr>
        <w:t>0.32</w:t>
      </w:r>
      <w:r>
        <w:rPr>
          <w:rFonts w:hint="eastAsia" w:ascii="仿宋" w:hAnsi="仿宋" w:eastAsia="仿宋" w:cs="仿宋"/>
          <w:sz w:val="32"/>
          <w:szCs w:val="32"/>
        </w:rPr>
        <w:t>万元，增长</w:t>
      </w:r>
      <w:r>
        <w:rPr>
          <w:rFonts w:hint="eastAsia" w:ascii="仿宋" w:hAnsi="仿宋" w:eastAsia="仿宋" w:cs="仿宋"/>
          <w:sz w:val="32"/>
          <w:szCs w:val="32"/>
          <w:lang w:val="en-US" w:eastAsia="zh-CN"/>
        </w:rPr>
        <w:t>0.34</w:t>
      </w:r>
      <w:r>
        <w:rPr>
          <w:rFonts w:hint="eastAsia" w:ascii="仿宋" w:hAnsi="仿宋" w:eastAsia="仿宋" w:cs="仿宋"/>
          <w:sz w:val="32"/>
          <w:szCs w:val="32"/>
        </w:rPr>
        <w:t>%，主要是因为</w:t>
      </w:r>
      <w:r>
        <w:rPr>
          <w:rFonts w:hint="eastAsia" w:ascii="仿宋" w:hAnsi="仿宋" w:eastAsia="仿宋" w:cs="仿宋"/>
          <w:sz w:val="32"/>
          <w:szCs w:val="32"/>
          <w:lang w:eastAsia="zh-CN"/>
        </w:rPr>
        <w:t>本年度新增工作人员，人员相关经费略有增加，带动收支合计小幅增长。</w:t>
      </w:r>
    </w:p>
    <w:p w14:paraId="67EC8A4D">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二、收入决算情况说明</w:t>
      </w:r>
    </w:p>
    <w:p w14:paraId="4D7AA453">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年度收入合计</w:t>
      </w:r>
      <w:r>
        <w:rPr>
          <w:rFonts w:hint="eastAsia" w:ascii="仿宋" w:hAnsi="仿宋" w:eastAsia="仿宋" w:cs="仿宋"/>
          <w:sz w:val="32"/>
          <w:szCs w:val="32"/>
          <w:lang w:val="en-US" w:eastAsia="zh-CN"/>
        </w:rPr>
        <w:t>94.32</w:t>
      </w:r>
      <w:r>
        <w:rPr>
          <w:rFonts w:hint="eastAsia" w:ascii="仿宋" w:hAnsi="仿宋" w:eastAsia="仿宋" w:cs="仿宋"/>
          <w:sz w:val="32"/>
          <w:szCs w:val="32"/>
        </w:rPr>
        <w:t>万元，其中：财政拨款收入</w:t>
      </w:r>
      <w:r>
        <w:rPr>
          <w:rFonts w:hint="eastAsia" w:ascii="仿宋" w:hAnsi="仿宋" w:eastAsia="仿宋" w:cs="仿宋"/>
          <w:sz w:val="32"/>
          <w:szCs w:val="32"/>
          <w:lang w:val="en-US" w:eastAsia="zh-CN"/>
        </w:rPr>
        <w:t>94.32</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%；上级补助收入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%；事业收入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%；附属单位上缴收入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6D014B88">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三、支出决算情况说明</w:t>
      </w:r>
    </w:p>
    <w:p w14:paraId="339BF576">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年度支出合计</w:t>
      </w:r>
      <w:r>
        <w:rPr>
          <w:rFonts w:hint="eastAsia" w:ascii="仿宋" w:hAnsi="仿宋" w:eastAsia="仿宋" w:cs="仿宋"/>
          <w:sz w:val="32"/>
          <w:szCs w:val="32"/>
          <w:lang w:val="en-US" w:eastAsia="zh-CN"/>
        </w:rPr>
        <w:t>94.32</w:t>
      </w:r>
      <w:r>
        <w:rPr>
          <w:rFonts w:hint="eastAsia" w:ascii="仿宋" w:hAnsi="仿宋" w:eastAsia="仿宋" w:cs="仿宋"/>
          <w:sz w:val="32"/>
          <w:szCs w:val="32"/>
        </w:rPr>
        <w:t>万元，其中：基本支出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万元，占</w:t>
      </w:r>
      <w:r>
        <w:rPr>
          <w:rFonts w:hint="eastAsia" w:ascii="仿宋" w:hAnsi="仿宋" w:eastAsia="仿宋" w:cs="仿宋"/>
          <w:sz w:val="32"/>
          <w:szCs w:val="32"/>
          <w:lang w:val="en-US" w:eastAsia="zh-CN"/>
        </w:rPr>
        <w:t>100</w:t>
      </w:r>
      <w:r>
        <w:rPr>
          <w:rFonts w:hint="eastAsia" w:ascii="仿宋" w:hAnsi="仿宋" w:eastAsia="仿宋" w:cs="仿宋"/>
          <w:sz w:val="32"/>
          <w:szCs w:val="32"/>
        </w:rPr>
        <w:t>%；项目支出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%；对附属单位补助支出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14:paraId="779CF067">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四、财政拨款收入支出决算总体情况说明</w:t>
      </w:r>
    </w:p>
    <w:p w14:paraId="34BA99BD">
      <w:pPr>
        <w:pStyle w:val="12"/>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年度财政拨款收、支总计</w:t>
      </w:r>
      <w:r>
        <w:rPr>
          <w:rFonts w:hint="eastAsia" w:ascii="仿宋" w:hAnsi="仿宋" w:eastAsia="仿宋" w:cs="仿宋"/>
          <w:sz w:val="32"/>
          <w:szCs w:val="32"/>
          <w:lang w:val="en-US" w:eastAsia="zh-CN"/>
        </w:rPr>
        <w:t>94.32</w:t>
      </w:r>
      <w:r>
        <w:rPr>
          <w:rFonts w:hint="eastAsia" w:ascii="仿宋" w:hAnsi="仿宋" w:eastAsia="仿宋" w:cs="仿宋"/>
          <w:sz w:val="32"/>
          <w:szCs w:val="32"/>
        </w:rPr>
        <w:t>万元，与上年相比，增加</w:t>
      </w:r>
      <w:r>
        <w:rPr>
          <w:rFonts w:hint="eastAsia" w:ascii="仿宋" w:hAnsi="仿宋" w:eastAsia="仿宋" w:cs="仿宋"/>
          <w:sz w:val="32"/>
          <w:szCs w:val="32"/>
          <w:lang w:val="en-US" w:eastAsia="zh-CN"/>
        </w:rPr>
        <w:t>0.32</w:t>
      </w:r>
      <w:r>
        <w:rPr>
          <w:rFonts w:hint="eastAsia" w:ascii="仿宋" w:hAnsi="仿宋" w:eastAsia="仿宋" w:cs="仿宋"/>
          <w:sz w:val="32"/>
          <w:szCs w:val="32"/>
        </w:rPr>
        <w:t>万元,增长</w:t>
      </w:r>
      <w:r>
        <w:rPr>
          <w:rFonts w:hint="eastAsia" w:ascii="仿宋" w:hAnsi="仿宋" w:eastAsia="仿宋" w:cs="仿宋"/>
          <w:sz w:val="32"/>
          <w:szCs w:val="32"/>
          <w:lang w:val="en-US" w:eastAsia="zh-CN"/>
        </w:rPr>
        <w:t>0.34</w:t>
      </w:r>
      <w:r>
        <w:rPr>
          <w:rFonts w:hint="eastAsia" w:ascii="仿宋" w:hAnsi="仿宋" w:eastAsia="仿宋" w:cs="仿宋"/>
          <w:sz w:val="32"/>
          <w:szCs w:val="32"/>
        </w:rPr>
        <w:t>%，主要是因为</w:t>
      </w:r>
      <w:r>
        <w:rPr>
          <w:rFonts w:hint="eastAsia" w:ascii="仿宋" w:hAnsi="仿宋" w:eastAsia="仿宋" w:cs="仿宋"/>
          <w:sz w:val="32"/>
          <w:szCs w:val="32"/>
          <w:lang w:eastAsia="zh-CN"/>
        </w:rPr>
        <w:t>本年度新增工作人员，人员相关经费略有增加，带动收支合计小幅增长。</w:t>
      </w:r>
    </w:p>
    <w:p w14:paraId="4DBD03ED">
      <w:pPr>
        <w:pStyle w:val="12"/>
        <w:overflowPunct w:val="0"/>
        <w:autoSpaceDE/>
        <w:autoSpaceDN/>
        <w:spacing w:line="600" w:lineRule="exact"/>
        <w:jc w:val="both"/>
        <w:rPr>
          <w:rFonts w:hint="eastAsia" w:ascii="仿宋" w:hAnsi="仿宋" w:eastAsia="仿宋" w:cs="仿宋"/>
          <w:bCs/>
          <w:sz w:val="32"/>
          <w:szCs w:val="32"/>
        </w:rPr>
      </w:pPr>
      <w:r>
        <w:rPr>
          <w:rFonts w:hint="eastAsia" w:ascii="仿宋" w:hAnsi="仿宋" w:eastAsia="仿宋" w:cs="仿宋"/>
          <w:bCs/>
          <w:sz w:val="32"/>
          <w:szCs w:val="32"/>
          <w:lang w:eastAsia="zh-CN"/>
        </w:rPr>
        <w:t>　　</w:t>
      </w:r>
      <w:r>
        <w:rPr>
          <w:rFonts w:hint="eastAsia" w:ascii="仿宋" w:hAnsi="仿宋" w:eastAsia="仿宋" w:cs="仿宋"/>
          <w:bCs/>
          <w:sz w:val="32"/>
          <w:szCs w:val="32"/>
        </w:rPr>
        <w:t>五、一般公共预算财政拨款支出决算情况说明</w:t>
      </w:r>
    </w:p>
    <w:p w14:paraId="7A6B066A">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
          <w:sz w:val="32"/>
          <w:szCs w:val="32"/>
        </w:rPr>
        <w:t>（一）一般公共预算财政拨款支出决算总体情况</w:t>
      </w:r>
    </w:p>
    <w:p w14:paraId="7F247A7A">
      <w:pPr>
        <w:pStyle w:val="12"/>
        <w:overflowPunct w:val="0"/>
        <w:autoSpaceDE/>
        <w:autoSpaceDN/>
        <w:spacing w:line="600" w:lineRule="exact"/>
        <w:ind w:firstLine="640" w:firstLineChars="200"/>
        <w:jc w:val="both"/>
        <w:rPr>
          <w:rFonts w:hint="eastAsia" w:ascii="仿宋" w:hAnsi="仿宋" w:eastAsia="仿宋" w:cs="仿宋"/>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万元，占本年支出合计的</w:t>
      </w:r>
      <w:r>
        <w:rPr>
          <w:rFonts w:hint="eastAsia" w:ascii="仿宋" w:hAnsi="仿宋" w:eastAsia="仿宋" w:cs="仿宋"/>
          <w:sz w:val="32"/>
          <w:szCs w:val="32"/>
          <w:lang w:val="en-US" w:eastAsia="zh-CN"/>
        </w:rPr>
        <w:t>100</w:t>
      </w:r>
      <w:r>
        <w:rPr>
          <w:rFonts w:hint="eastAsia" w:ascii="仿宋" w:hAnsi="仿宋" w:eastAsia="仿宋" w:cs="仿宋"/>
          <w:sz w:val="32"/>
          <w:szCs w:val="32"/>
        </w:rPr>
        <w:t>%，与上年相比，财政拨款支出增加</w:t>
      </w:r>
      <w:r>
        <w:rPr>
          <w:rFonts w:hint="eastAsia" w:ascii="仿宋" w:hAnsi="仿宋" w:eastAsia="仿宋" w:cs="仿宋"/>
          <w:sz w:val="32"/>
          <w:szCs w:val="32"/>
          <w:lang w:val="en-US" w:eastAsia="zh-CN"/>
        </w:rPr>
        <w:t>0.32</w:t>
      </w:r>
      <w:r>
        <w:rPr>
          <w:rFonts w:hint="eastAsia" w:ascii="仿宋" w:hAnsi="仿宋" w:eastAsia="仿宋" w:cs="仿宋"/>
          <w:sz w:val="32"/>
          <w:szCs w:val="32"/>
        </w:rPr>
        <w:t>万元，增长</w:t>
      </w:r>
      <w:r>
        <w:rPr>
          <w:rFonts w:hint="eastAsia" w:ascii="仿宋" w:hAnsi="仿宋" w:eastAsia="仿宋" w:cs="仿宋"/>
          <w:sz w:val="32"/>
          <w:szCs w:val="32"/>
          <w:lang w:val="en-US" w:eastAsia="zh-CN"/>
        </w:rPr>
        <w:t>0.34</w:t>
      </w:r>
      <w:r>
        <w:rPr>
          <w:rFonts w:hint="eastAsia" w:ascii="仿宋" w:hAnsi="仿宋" w:eastAsia="仿宋" w:cs="仿宋"/>
          <w:sz w:val="32"/>
          <w:szCs w:val="32"/>
        </w:rPr>
        <w:t>%，主要是因为</w:t>
      </w:r>
      <w:r>
        <w:rPr>
          <w:rFonts w:hint="eastAsia" w:ascii="仿宋" w:hAnsi="仿宋" w:eastAsia="仿宋" w:cs="仿宋"/>
          <w:sz w:val="32"/>
          <w:szCs w:val="32"/>
          <w:lang w:eastAsia="zh-CN"/>
        </w:rPr>
        <w:t>本年度新增工作人员，人员相关经费略有增加，带动收支合计小幅增长。</w:t>
      </w:r>
    </w:p>
    <w:p w14:paraId="2ED837CD">
      <w:pPr>
        <w:pStyle w:val="12"/>
        <w:overflowPunct w:val="0"/>
        <w:autoSpaceDE/>
        <w:autoSpaceDN/>
        <w:spacing w:line="600" w:lineRule="exact"/>
        <w:jc w:val="both"/>
        <w:rPr>
          <w:rFonts w:hint="eastAsia" w:ascii="仿宋" w:hAnsi="仿宋" w:eastAsia="仿宋" w:cs="仿宋"/>
          <w:b/>
          <w:sz w:val="32"/>
          <w:szCs w:val="32"/>
        </w:rPr>
      </w:pPr>
      <w:r>
        <w:rPr>
          <w:rFonts w:hint="eastAsia" w:ascii="仿宋" w:hAnsi="仿宋" w:eastAsia="仿宋" w:cs="仿宋"/>
          <w:b/>
          <w:sz w:val="32"/>
          <w:szCs w:val="32"/>
          <w:lang w:eastAsia="zh-CN"/>
        </w:rPr>
        <w:t>　　</w:t>
      </w:r>
      <w:r>
        <w:rPr>
          <w:rFonts w:hint="eastAsia" w:ascii="仿宋" w:hAnsi="仿宋" w:eastAsia="仿宋" w:cs="仿宋"/>
          <w:b/>
          <w:sz w:val="32"/>
          <w:szCs w:val="32"/>
        </w:rPr>
        <w:t>（二）一般公共预算财政拨款支出决算结构情况</w:t>
      </w:r>
    </w:p>
    <w:p w14:paraId="67DC345F">
      <w:pPr>
        <w:pStyle w:val="12"/>
        <w:overflowPunct w:val="0"/>
        <w:autoSpaceDE/>
        <w:autoSpaceDN/>
        <w:spacing w:line="600" w:lineRule="exact"/>
        <w:ind w:firstLine="640" w:firstLineChars="200"/>
        <w:jc w:val="both"/>
        <w:rPr>
          <w:rFonts w:hint="eastAsia" w:ascii="仿宋" w:hAnsi="仿宋" w:eastAsia="仿宋" w:cs="仿宋"/>
          <w:sz w:val="32"/>
          <w:szCs w:val="32"/>
          <w:lang w:val="en-US"/>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万元，主要用于以下方面：一般公共服务（类）支出</w:t>
      </w:r>
      <w:r>
        <w:rPr>
          <w:rFonts w:hint="eastAsia" w:ascii="仿宋" w:hAnsi="仿宋" w:eastAsia="仿宋" w:cs="仿宋"/>
          <w:sz w:val="32"/>
          <w:szCs w:val="32"/>
          <w:lang w:val="en-US" w:eastAsia="zh-CN"/>
        </w:rPr>
        <w:t>87.23</w:t>
      </w:r>
      <w:r>
        <w:rPr>
          <w:rFonts w:hint="eastAsia" w:ascii="仿宋" w:hAnsi="仿宋" w:eastAsia="仿宋" w:cs="仿宋"/>
          <w:sz w:val="32"/>
          <w:szCs w:val="32"/>
        </w:rPr>
        <w:t>万元，占</w:t>
      </w:r>
      <w:r>
        <w:rPr>
          <w:rFonts w:hint="eastAsia" w:ascii="仿宋" w:hAnsi="仿宋" w:eastAsia="仿宋" w:cs="仿宋"/>
          <w:sz w:val="32"/>
          <w:szCs w:val="32"/>
          <w:lang w:val="en-US" w:eastAsia="zh-CN"/>
        </w:rPr>
        <w:t>92.48</w:t>
      </w:r>
      <w:r>
        <w:rPr>
          <w:rFonts w:hint="eastAsia" w:ascii="仿宋" w:hAnsi="仿宋" w:eastAsia="仿宋" w:cs="仿宋"/>
          <w:sz w:val="32"/>
          <w:szCs w:val="32"/>
        </w:rPr>
        <w:t>%；教育（类）支出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社会保障和就业</w:t>
      </w:r>
      <w:r>
        <w:rPr>
          <w:rFonts w:hint="eastAsia" w:ascii="仿宋" w:hAnsi="仿宋" w:eastAsia="仿宋" w:cs="仿宋"/>
          <w:sz w:val="32"/>
          <w:szCs w:val="32"/>
          <w:lang w:val="en-US" w:eastAsia="zh-CN"/>
        </w:rPr>
        <w:t>(类)</w:t>
      </w:r>
      <w:r>
        <w:rPr>
          <w:rFonts w:hint="eastAsia" w:ascii="仿宋" w:hAnsi="仿宋" w:eastAsia="仿宋" w:cs="仿宋"/>
          <w:sz w:val="32"/>
          <w:szCs w:val="32"/>
          <w:lang w:eastAsia="zh-CN"/>
        </w:rPr>
        <w:t>支出</w:t>
      </w:r>
      <w:r>
        <w:rPr>
          <w:rFonts w:hint="eastAsia" w:ascii="仿宋" w:hAnsi="仿宋" w:eastAsia="仿宋" w:cs="仿宋"/>
          <w:sz w:val="32"/>
          <w:szCs w:val="32"/>
          <w:lang w:val="en-US" w:eastAsia="zh-CN"/>
        </w:rPr>
        <w:t>3.55万元,占3.76%；卫生健康(类)支出1.72万元,占1.82%;城乡社区(类)支出0.23万元,占0.24%；其他支出1.59万元，占1.70%。</w:t>
      </w:r>
    </w:p>
    <w:p w14:paraId="499FD32A">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
          <w:sz w:val="32"/>
          <w:szCs w:val="32"/>
        </w:rPr>
        <w:t>（三）一般公共预算财政拨款支出决算具体情况</w:t>
      </w:r>
    </w:p>
    <w:p w14:paraId="618D638C">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年度财政拨款支出年初预算数为</w:t>
      </w:r>
      <w:r>
        <w:rPr>
          <w:rFonts w:hint="eastAsia" w:ascii="仿宋" w:hAnsi="仿宋" w:eastAsia="仿宋" w:cs="仿宋"/>
          <w:sz w:val="32"/>
          <w:szCs w:val="32"/>
          <w:lang w:val="en-US" w:eastAsia="zh-CN"/>
        </w:rPr>
        <w:t>172.03</w:t>
      </w:r>
      <w:r>
        <w:rPr>
          <w:rFonts w:hint="eastAsia" w:ascii="仿宋" w:hAnsi="仿宋" w:eastAsia="仿宋" w:cs="仿宋"/>
          <w:sz w:val="32"/>
          <w:szCs w:val="32"/>
        </w:rPr>
        <w:t>万元，支出决算数为</w:t>
      </w:r>
      <w:r>
        <w:rPr>
          <w:rFonts w:hint="eastAsia" w:ascii="仿宋" w:hAnsi="仿宋" w:eastAsia="仿宋" w:cs="仿宋"/>
          <w:sz w:val="32"/>
          <w:szCs w:val="32"/>
          <w:lang w:val="en-US" w:eastAsia="zh-CN"/>
        </w:rPr>
        <w:t>94.32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54.83</w:t>
      </w:r>
      <w:r>
        <w:rPr>
          <w:rFonts w:hint="eastAsia" w:ascii="仿宋" w:hAnsi="仿宋" w:eastAsia="仿宋" w:cs="仿宋"/>
          <w:sz w:val="32"/>
          <w:szCs w:val="32"/>
        </w:rPr>
        <w:t>%，其中：</w:t>
      </w:r>
    </w:p>
    <w:p w14:paraId="7164D0D9">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1、一般公共服务（类）</w:t>
      </w:r>
      <w:r>
        <w:rPr>
          <w:rFonts w:hint="eastAsia" w:ascii="仿宋" w:hAnsi="仿宋" w:eastAsia="仿宋" w:cs="仿宋"/>
          <w:sz w:val="32"/>
          <w:szCs w:val="32"/>
          <w:lang w:eastAsia="zh-CN"/>
        </w:rPr>
        <w:t>其他一般公共服务支出</w:t>
      </w:r>
      <w:r>
        <w:rPr>
          <w:rFonts w:hint="eastAsia" w:ascii="仿宋" w:hAnsi="仿宋" w:eastAsia="仿宋" w:cs="仿宋"/>
          <w:sz w:val="32"/>
          <w:szCs w:val="32"/>
        </w:rPr>
        <w:t>。</w:t>
      </w:r>
    </w:p>
    <w:p w14:paraId="728E3167">
      <w:pPr>
        <w:pStyle w:val="12"/>
        <w:keepNext w:val="0"/>
        <w:keepLines w:val="0"/>
        <w:pageBreakBefore w:val="0"/>
        <w:kinsoku/>
        <w:overflowPunct/>
        <w:topLinePunct w:val="0"/>
        <w:bidi w:val="0"/>
        <w:snapToGrid/>
        <w:spacing w:line="600" w:lineRule="exact"/>
        <w:ind w:left="0" w:leftChars="0" w:right="0" w:firstLine="640" w:firstLineChars="200"/>
        <w:textAlignment w:val="auto"/>
        <w:rPr>
          <w:rFonts w:hint="eastAsia" w:ascii="仿宋" w:hAnsi="仿宋" w:eastAsia="仿宋" w:cs="仿宋"/>
          <w:color w:val="auto"/>
          <w:spacing w:val="0"/>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160.22</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87.24</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54.45</w:t>
      </w:r>
      <w:r>
        <w:rPr>
          <w:rFonts w:hint="eastAsia" w:ascii="仿宋" w:hAnsi="仿宋" w:eastAsia="仿宋" w:cs="仿宋"/>
          <w:sz w:val="32"/>
          <w:szCs w:val="32"/>
        </w:rPr>
        <w:t>%，</w:t>
      </w:r>
      <w:r>
        <w:rPr>
          <w:rFonts w:hint="eastAsia" w:ascii="仿宋" w:hAnsi="仿宋" w:eastAsia="仿宋" w:cs="仿宋"/>
          <w:color w:val="auto"/>
          <w:spacing w:val="0"/>
          <w:sz w:val="32"/>
          <w:szCs w:val="32"/>
          <w:lang w:val="en-US" w:eastAsia="zh-CN"/>
        </w:rPr>
        <w:t>决算数小于年初预算数的主要原因是:本年度部分民兵训练、基地运维等相关工作任务未按计划全部实施，导致实际支出较年初预算有所减少</w:t>
      </w:r>
      <w:r>
        <w:rPr>
          <w:rFonts w:hint="eastAsia" w:ascii="仿宋" w:hAnsi="仿宋" w:eastAsia="仿宋" w:cs="仿宋"/>
          <w:color w:val="auto"/>
          <w:spacing w:val="0"/>
          <w:sz w:val="32"/>
          <w:szCs w:val="32"/>
        </w:rPr>
        <w:t>。</w:t>
      </w:r>
    </w:p>
    <w:p w14:paraId="3D057B33">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w:t>
      </w:r>
      <w:r>
        <w:rPr>
          <w:rFonts w:hint="eastAsia" w:ascii="仿宋" w:hAnsi="仿宋" w:eastAsia="仿宋" w:cs="仿宋"/>
          <w:sz w:val="32"/>
          <w:szCs w:val="32"/>
          <w:lang w:eastAsia="zh-CN"/>
        </w:rPr>
        <w:t>社会保障和就业支出</w:t>
      </w:r>
      <w:r>
        <w:rPr>
          <w:rFonts w:hint="eastAsia" w:ascii="仿宋" w:hAnsi="仿宋" w:eastAsia="仿宋" w:cs="仿宋"/>
          <w:sz w:val="32"/>
          <w:szCs w:val="32"/>
          <w:lang w:val="en-US" w:eastAsia="zh-CN"/>
        </w:rPr>
        <w:t>(类)机关事业单位基本养老保险缴费支出</w:t>
      </w:r>
      <w:r>
        <w:rPr>
          <w:rFonts w:hint="eastAsia" w:ascii="仿宋" w:hAnsi="仿宋" w:eastAsia="仿宋" w:cs="仿宋"/>
          <w:sz w:val="32"/>
          <w:szCs w:val="32"/>
        </w:rPr>
        <w:t>。</w:t>
      </w:r>
    </w:p>
    <w:p w14:paraId="52A4F8D1">
      <w:pPr>
        <w:pStyle w:val="12"/>
        <w:keepNext w:val="0"/>
        <w:keepLines w:val="0"/>
        <w:pageBreakBefore w:val="0"/>
        <w:kinsoku/>
        <w:overflowPunct/>
        <w:topLinePunct w:val="0"/>
        <w:bidi w:val="0"/>
        <w:snapToGrid/>
        <w:spacing w:line="600" w:lineRule="exact"/>
        <w:ind w:left="0" w:leftChars="0" w:right="0" w:firstLine="640" w:firstLineChars="200"/>
        <w:textAlignment w:val="auto"/>
        <w:rPr>
          <w:rFonts w:hint="eastAsia" w:ascii="仿宋" w:hAnsi="仿宋" w:eastAsia="仿宋" w:cs="仿宋"/>
          <w:color w:val="auto"/>
          <w:spacing w:val="0"/>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6</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3.55</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59.17</w:t>
      </w:r>
      <w:r>
        <w:rPr>
          <w:rFonts w:hint="eastAsia" w:ascii="仿宋" w:hAnsi="仿宋" w:eastAsia="仿宋" w:cs="仿宋"/>
          <w:sz w:val="32"/>
          <w:szCs w:val="32"/>
        </w:rPr>
        <w:t>%，</w:t>
      </w:r>
      <w:r>
        <w:rPr>
          <w:rFonts w:hint="eastAsia" w:ascii="仿宋" w:hAnsi="仿宋" w:eastAsia="仿宋" w:cs="仿宋"/>
          <w:color w:val="auto"/>
          <w:spacing w:val="0"/>
          <w:sz w:val="32"/>
          <w:szCs w:val="32"/>
          <w:lang w:val="en-US" w:eastAsia="zh-CN"/>
        </w:rPr>
        <w:t>决算数小于年初预算数的主要原因是:本年度实际参保缴费人员较预算测算人数减少，养老保险缴费实际支出相应减少</w:t>
      </w:r>
      <w:r>
        <w:rPr>
          <w:rFonts w:hint="eastAsia" w:ascii="仿宋" w:hAnsi="仿宋" w:eastAsia="仿宋" w:cs="仿宋"/>
          <w:color w:val="auto"/>
          <w:spacing w:val="0"/>
          <w:sz w:val="32"/>
          <w:szCs w:val="32"/>
        </w:rPr>
        <w:t>。</w:t>
      </w:r>
    </w:p>
    <w:p w14:paraId="1CF7CA8C">
      <w:pPr>
        <w:pStyle w:val="12"/>
        <w:numPr>
          <w:ilvl w:val="0"/>
          <w:numId w:val="2"/>
        </w:numPr>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卫生健康支出(类)事业单位医疗。</w:t>
      </w:r>
    </w:p>
    <w:p w14:paraId="47D92F21">
      <w:pPr>
        <w:pStyle w:val="12"/>
        <w:numPr>
          <w:ilvl w:val="0"/>
          <w:numId w:val="0"/>
        </w:numPr>
        <w:overflowPunct w:val="0"/>
        <w:autoSpaceDE/>
        <w:autoSpaceDN/>
        <w:spacing w:line="600" w:lineRule="exact"/>
        <w:jc w:val="both"/>
        <w:rPr>
          <w:rFonts w:hint="eastAsia" w:ascii="仿宋" w:hAnsi="仿宋" w:eastAsia="仿宋" w:cs="仿宋"/>
          <w:color w:val="auto"/>
          <w:spacing w:val="0"/>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年初预算为</w:t>
      </w:r>
      <w:r>
        <w:rPr>
          <w:rFonts w:hint="eastAsia" w:ascii="仿宋" w:hAnsi="仿宋" w:eastAsia="仿宋" w:cs="仿宋"/>
          <w:sz w:val="32"/>
          <w:szCs w:val="32"/>
          <w:lang w:val="en-US" w:eastAsia="zh-CN"/>
        </w:rPr>
        <w:t>4</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1.72</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43</w:t>
      </w:r>
      <w:r>
        <w:rPr>
          <w:rFonts w:hint="eastAsia" w:ascii="仿宋" w:hAnsi="仿宋" w:eastAsia="仿宋" w:cs="仿宋"/>
          <w:sz w:val="32"/>
          <w:szCs w:val="32"/>
        </w:rPr>
        <w:t>%，</w:t>
      </w:r>
      <w:r>
        <w:rPr>
          <w:rFonts w:hint="eastAsia" w:ascii="仿宋" w:hAnsi="仿宋" w:eastAsia="仿宋" w:cs="仿宋"/>
          <w:color w:val="auto"/>
          <w:spacing w:val="0"/>
          <w:sz w:val="32"/>
          <w:szCs w:val="32"/>
          <w:lang w:val="en-US" w:eastAsia="zh-CN"/>
        </w:rPr>
        <w:t>决算数小于年初预算数的主要原因是:本年度实际参保缴费人员较预算测算人数减少，单位承担的医疗保险缴费实际支出相应减少</w:t>
      </w:r>
      <w:r>
        <w:rPr>
          <w:rFonts w:hint="eastAsia" w:ascii="仿宋" w:hAnsi="仿宋" w:eastAsia="仿宋" w:cs="仿宋"/>
          <w:color w:val="auto"/>
          <w:spacing w:val="0"/>
          <w:sz w:val="32"/>
          <w:szCs w:val="32"/>
        </w:rPr>
        <w:t>。</w:t>
      </w:r>
    </w:p>
    <w:p w14:paraId="17E6F047">
      <w:pPr>
        <w:pStyle w:val="12"/>
        <w:numPr>
          <w:ilvl w:val="0"/>
          <w:numId w:val="2"/>
        </w:numPr>
        <w:overflowPunct w:val="0"/>
        <w:autoSpaceDE/>
        <w:autoSpaceDN/>
        <w:spacing w:line="600" w:lineRule="exact"/>
        <w:ind w:left="0" w:leftChars="0" w:firstLine="640" w:firstLineChars="200"/>
        <w:jc w:val="both"/>
        <w:rPr>
          <w:rFonts w:hint="eastAsia" w:ascii="仿宋" w:hAnsi="仿宋" w:eastAsia="仿宋" w:cs="仿宋"/>
          <w:sz w:val="32"/>
          <w:szCs w:val="32"/>
          <w:lang w:val="en-US" w:eastAsia="zh-CN"/>
        </w:rPr>
      </w:pPr>
      <w:r>
        <w:rPr>
          <w:rFonts w:hint="eastAsia" w:ascii="仿宋" w:hAnsi="仿宋" w:eastAsia="仿宋" w:cs="仿宋"/>
          <w:color w:val="auto"/>
          <w:spacing w:val="0"/>
          <w:sz w:val="32"/>
          <w:szCs w:val="32"/>
          <w:lang w:val="en-US" w:eastAsia="zh-CN"/>
        </w:rPr>
        <w:t>城乡社区支出(类)</w:t>
      </w:r>
      <w:r>
        <w:rPr>
          <w:rFonts w:hint="eastAsia" w:ascii="仿宋" w:hAnsi="仿宋" w:eastAsia="仿宋" w:cs="仿宋"/>
          <w:sz w:val="32"/>
          <w:szCs w:val="32"/>
          <w:lang w:val="en-US" w:eastAsia="zh-CN"/>
        </w:rPr>
        <w:t>其他城乡社区管理事务支出。</w:t>
      </w:r>
    </w:p>
    <w:p w14:paraId="67CA431B">
      <w:pPr>
        <w:pStyle w:val="12"/>
        <w:keepNext w:val="0"/>
        <w:keepLines w:val="0"/>
        <w:pageBreakBefore w:val="0"/>
        <w:kinsoku/>
        <w:overflowPunct/>
        <w:topLinePunct w:val="0"/>
        <w:bidi w:val="0"/>
        <w:snapToGrid/>
        <w:spacing w:line="600" w:lineRule="exact"/>
        <w:ind w:left="0" w:leftChars="0" w:right="0" w:firstLine="640" w:firstLineChars="200"/>
        <w:textAlignment w:val="auto"/>
        <w:rPr>
          <w:rFonts w:hint="eastAsia" w:ascii="仿宋" w:hAnsi="仿宋" w:eastAsia="仿宋" w:cs="仿宋"/>
          <w:color w:val="auto"/>
          <w:spacing w:val="0"/>
          <w:sz w:val="32"/>
          <w:szCs w:val="32"/>
        </w:rPr>
      </w:pPr>
      <w:r>
        <w:rPr>
          <w:rFonts w:hint="eastAsia" w:ascii="仿宋" w:hAnsi="仿宋" w:eastAsia="仿宋" w:cs="仿宋"/>
          <w:sz w:val="32"/>
          <w:szCs w:val="32"/>
        </w:rPr>
        <w:t>年初预算为</w:t>
      </w:r>
      <w:r>
        <w:rPr>
          <w:rFonts w:hint="eastAsia" w:ascii="仿宋" w:hAnsi="仿宋" w:eastAsia="仿宋" w:cs="仿宋"/>
          <w:sz w:val="32"/>
          <w:szCs w:val="32"/>
          <w:lang w:val="en-US" w:eastAsia="zh-CN"/>
        </w:rPr>
        <w:t>0.23</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0.23</w:t>
      </w:r>
      <w:r>
        <w:rPr>
          <w:rFonts w:hint="eastAsia" w:ascii="仿宋" w:hAnsi="仿宋" w:eastAsia="仿宋" w:cs="仿宋"/>
          <w:sz w:val="32"/>
          <w:szCs w:val="32"/>
        </w:rPr>
        <w:t>万元，完成年初预算的</w:t>
      </w:r>
      <w:r>
        <w:rPr>
          <w:rFonts w:hint="eastAsia" w:ascii="仿宋" w:hAnsi="仿宋" w:eastAsia="仿宋" w:cs="仿宋"/>
          <w:sz w:val="32"/>
          <w:szCs w:val="32"/>
          <w:lang w:val="en-US" w:eastAsia="zh-CN"/>
        </w:rPr>
        <w:t>100</w:t>
      </w:r>
      <w:r>
        <w:rPr>
          <w:rFonts w:hint="eastAsia" w:ascii="仿宋" w:hAnsi="仿宋" w:eastAsia="仿宋" w:cs="仿宋"/>
          <w:sz w:val="32"/>
          <w:szCs w:val="32"/>
        </w:rPr>
        <w:t>%，</w:t>
      </w:r>
      <w:r>
        <w:rPr>
          <w:rFonts w:hint="eastAsia" w:ascii="仿宋" w:hAnsi="仿宋" w:eastAsia="仿宋" w:cs="仿宋"/>
          <w:color w:val="auto"/>
          <w:spacing w:val="0"/>
          <w:sz w:val="32"/>
          <w:szCs w:val="32"/>
          <w:lang w:val="en-US" w:eastAsia="zh-CN"/>
        </w:rPr>
        <w:t>决算数等于年初预算数的主要原因是:本年度按照预算计划据实发生，经费执行与预算测算基本一致</w:t>
      </w:r>
      <w:r>
        <w:rPr>
          <w:rFonts w:hint="eastAsia" w:ascii="仿宋" w:hAnsi="仿宋" w:eastAsia="仿宋" w:cs="仿宋"/>
          <w:color w:val="auto"/>
          <w:spacing w:val="0"/>
          <w:sz w:val="32"/>
          <w:szCs w:val="32"/>
        </w:rPr>
        <w:t>。</w:t>
      </w:r>
    </w:p>
    <w:p w14:paraId="6FACF945">
      <w:pPr>
        <w:pStyle w:val="12"/>
        <w:overflowPunct w:val="0"/>
        <w:autoSpaceDE/>
        <w:autoSpaceDN/>
        <w:spacing w:line="600" w:lineRule="exact"/>
        <w:jc w:val="both"/>
        <w:rPr>
          <w:rFonts w:hint="eastAsia" w:ascii="仿宋" w:hAnsi="仿宋" w:eastAsia="仿宋" w:cs="仿宋"/>
          <w:bCs/>
          <w:sz w:val="32"/>
          <w:szCs w:val="32"/>
        </w:rPr>
      </w:pPr>
      <w:r>
        <w:rPr>
          <w:rFonts w:hint="eastAsia" w:ascii="仿宋" w:hAnsi="仿宋" w:eastAsia="仿宋" w:cs="仿宋"/>
          <w:bCs/>
          <w:sz w:val="32"/>
          <w:szCs w:val="32"/>
          <w:lang w:eastAsia="zh-CN"/>
        </w:rPr>
        <w:t>　　</w:t>
      </w:r>
      <w:r>
        <w:rPr>
          <w:rFonts w:hint="eastAsia" w:ascii="仿宋" w:hAnsi="仿宋" w:eastAsia="仿宋" w:cs="仿宋"/>
          <w:bCs/>
          <w:sz w:val="32"/>
          <w:szCs w:val="32"/>
        </w:rPr>
        <w:t>六、一般公共预算财政拨款基本支出决算情况说明</w:t>
      </w:r>
    </w:p>
    <w:p w14:paraId="70CBEBFD">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年度一般公共预算财政拨款基本支出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万元，其中：</w:t>
      </w:r>
    </w:p>
    <w:p w14:paraId="485D040B">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
          <w:bCs/>
          <w:sz w:val="32"/>
          <w:szCs w:val="32"/>
        </w:rPr>
        <w:t>人员经费</w:t>
      </w:r>
      <w:r>
        <w:rPr>
          <w:rFonts w:hint="eastAsia" w:ascii="仿宋" w:hAnsi="仿宋" w:eastAsia="仿宋" w:cs="仿宋"/>
          <w:b/>
          <w:bCs/>
          <w:sz w:val="32"/>
          <w:szCs w:val="32"/>
          <w:lang w:val="en-US" w:eastAsia="zh-CN"/>
        </w:rPr>
        <w:t>58.88</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62.43</w:t>
      </w:r>
      <w:r>
        <w:rPr>
          <w:rFonts w:hint="eastAsia" w:ascii="仿宋" w:hAnsi="仿宋" w:eastAsia="仿宋" w:cs="仿宋"/>
          <w:sz w:val="32"/>
          <w:szCs w:val="32"/>
        </w:rPr>
        <w:t>%,主要包括基本工资、津贴补贴、奖金、</w:t>
      </w:r>
      <w:r>
        <w:rPr>
          <w:rFonts w:hint="eastAsia" w:ascii="仿宋" w:hAnsi="仿宋" w:eastAsia="仿宋" w:cs="仿宋"/>
          <w:color w:val="auto"/>
          <w:spacing w:val="0"/>
          <w:sz w:val="32"/>
          <w:szCs w:val="32"/>
        </w:rPr>
        <w:t>伙食补助费</w:t>
      </w:r>
      <w:r>
        <w:rPr>
          <w:rFonts w:hint="eastAsia" w:ascii="仿宋" w:hAnsi="仿宋" w:eastAsia="仿宋" w:cs="仿宋"/>
          <w:color w:val="auto"/>
          <w:spacing w:val="0"/>
          <w:sz w:val="32"/>
          <w:szCs w:val="32"/>
          <w:lang w:eastAsia="zh-CN"/>
        </w:rPr>
        <w:t>、绩效工资、机关事业单位基本养老保险费、职工基本医疗保险缴费、</w:t>
      </w:r>
      <w:r>
        <w:rPr>
          <w:rFonts w:hint="eastAsia" w:ascii="仿宋" w:hAnsi="仿宋" w:eastAsia="仿宋" w:cs="仿宋"/>
          <w:color w:val="auto"/>
          <w:spacing w:val="0"/>
          <w:sz w:val="32"/>
          <w:szCs w:val="32"/>
        </w:rPr>
        <w:t>其他社会保障缴费</w:t>
      </w:r>
      <w:r>
        <w:rPr>
          <w:rFonts w:hint="eastAsia" w:ascii="仿宋" w:hAnsi="仿宋" w:eastAsia="仿宋" w:cs="仿宋"/>
          <w:color w:val="auto"/>
          <w:spacing w:val="0"/>
          <w:sz w:val="32"/>
          <w:szCs w:val="32"/>
          <w:lang w:eastAsia="zh-CN"/>
        </w:rPr>
        <w:t>；</w:t>
      </w:r>
      <w:r>
        <w:rPr>
          <w:rFonts w:hint="eastAsia" w:ascii="仿宋" w:hAnsi="仿宋" w:eastAsia="仿宋" w:cs="仿宋"/>
          <w:b/>
          <w:bCs/>
          <w:sz w:val="32"/>
          <w:szCs w:val="32"/>
        </w:rPr>
        <w:t>公用经费</w:t>
      </w:r>
      <w:r>
        <w:rPr>
          <w:rFonts w:hint="eastAsia" w:ascii="仿宋" w:hAnsi="仿宋" w:eastAsia="仿宋" w:cs="仿宋"/>
          <w:b/>
          <w:bCs/>
          <w:sz w:val="32"/>
          <w:szCs w:val="32"/>
          <w:lang w:val="en-US" w:eastAsia="zh-CN"/>
        </w:rPr>
        <w:t>35.44</w:t>
      </w:r>
      <w:r>
        <w:rPr>
          <w:rFonts w:hint="eastAsia" w:ascii="仿宋" w:hAnsi="仿宋" w:eastAsia="仿宋" w:cs="仿宋"/>
          <w:sz w:val="32"/>
          <w:szCs w:val="32"/>
        </w:rPr>
        <w:t>万元，占基本支出的</w:t>
      </w:r>
      <w:r>
        <w:rPr>
          <w:rFonts w:hint="eastAsia" w:ascii="仿宋" w:hAnsi="仿宋" w:eastAsia="仿宋" w:cs="仿宋"/>
          <w:sz w:val="32"/>
          <w:szCs w:val="32"/>
          <w:lang w:val="en-US" w:eastAsia="zh-CN"/>
        </w:rPr>
        <w:t>37.57</w:t>
      </w:r>
      <w:r>
        <w:rPr>
          <w:rFonts w:hint="eastAsia" w:ascii="仿宋" w:hAnsi="仿宋" w:eastAsia="仿宋" w:cs="仿宋"/>
          <w:sz w:val="32"/>
          <w:szCs w:val="32"/>
        </w:rPr>
        <w:t>%，主要包括办公费</w:t>
      </w:r>
      <w:r>
        <w:rPr>
          <w:rFonts w:hint="eastAsia" w:ascii="仿宋" w:hAnsi="仿宋" w:eastAsia="仿宋" w:cs="仿宋"/>
          <w:color w:val="auto"/>
          <w:spacing w:val="0"/>
          <w:sz w:val="32"/>
          <w:szCs w:val="32"/>
          <w:lang w:eastAsia="zh-CN"/>
        </w:rPr>
        <w:t>、劳务费、工会经费、其他商品和服务支出、</w:t>
      </w:r>
      <w:r>
        <w:rPr>
          <w:rFonts w:hint="eastAsia" w:ascii="仿宋" w:hAnsi="仿宋" w:eastAsia="仿宋" w:cs="仿宋"/>
          <w:sz w:val="32"/>
          <w:szCs w:val="32"/>
        </w:rPr>
        <w:t>印刷费、咨询费、手续费。</w:t>
      </w:r>
    </w:p>
    <w:p w14:paraId="6A593CEE">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Cs/>
          <w:sz w:val="32"/>
          <w:szCs w:val="32"/>
        </w:rPr>
        <w:t>七、财政拨款“三公”经费支出决算情况说明</w:t>
      </w:r>
    </w:p>
    <w:p w14:paraId="36E57A39">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
          <w:sz w:val="32"/>
          <w:szCs w:val="32"/>
        </w:rPr>
        <w:t>（一）“三公”经费财政拨款支出决算总体情况说明</w:t>
      </w:r>
    </w:p>
    <w:p w14:paraId="035BC964">
      <w:pPr>
        <w:pStyle w:val="12"/>
        <w:overflowPunct w:val="0"/>
        <w:autoSpaceDE/>
        <w:autoSpaceDN/>
        <w:spacing w:line="600" w:lineRule="exact"/>
        <w:ind w:firstLine="640" w:firstLineChars="200"/>
        <w:jc w:val="both"/>
        <w:rPr>
          <w:rFonts w:hint="eastAsia" w:ascii="仿宋" w:hAnsi="仿宋" w:eastAsia="仿宋" w:cs="仿宋"/>
          <w:color w:val="auto"/>
          <w:spacing w:val="0"/>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年度“三公”经费财政拨款支出预算为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color w:val="auto"/>
          <w:spacing w:val="0"/>
          <w:sz w:val="32"/>
          <w:szCs w:val="32"/>
        </w:rPr>
        <w:t>与上年</w:t>
      </w:r>
      <w:r>
        <w:rPr>
          <w:rFonts w:hint="eastAsia" w:ascii="仿宋" w:hAnsi="仿宋" w:eastAsia="仿宋" w:cs="仿宋"/>
          <w:color w:val="auto"/>
          <w:spacing w:val="0"/>
          <w:sz w:val="32"/>
          <w:szCs w:val="32"/>
          <w:lang w:eastAsia="zh-CN"/>
        </w:rPr>
        <w:t>相比持平。</w:t>
      </w:r>
    </w:p>
    <w:p w14:paraId="2794F547">
      <w:pPr>
        <w:pStyle w:val="12"/>
        <w:overflowPunct w:val="0"/>
        <w:autoSpaceDE/>
        <w:autoSpaceDN/>
        <w:spacing w:line="600" w:lineRule="exact"/>
        <w:ind w:firstLine="640" w:firstLineChars="200"/>
        <w:jc w:val="both"/>
        <w:rPr>
          <w:rFonts w:hint="eastAsia" w:ascii="仿宋" w:hAnsi="仿宋" w:eastAsia="仿宋" w:cs="仿宋"/>
          <w:b/>
          <w:sz w:val="32"/>
          <w:szCs w:val="32"/>
        </w:rPr>
      </w:pPr>
      <w:r>
        <w:rPr>
          <w:rFonts w:hint="eastAsia" w:ascii="仿宋" w:hAnsi="仿宋" w:eastAsia="仿宋" w:cs="仿宋"/>
          <w:b/>
          <w:sz w:val="32"/>
          <w:szCs w:val="32"/>
        </w:rPr>
        <w:t>（二）“三公”经费财政拨款支出决算具体情况说明</w:t>
      </w:r>
    </w:p>
    <w:p w14:paraId="3F09ECBD">
      <w:pPr>
        <w:pStyle w:val="12"/>
        <w:keepNext w:val="0"/>
        <w:keepLines w:val="0"/>
        <w:pageBreakBefore w:val="0"/>
        <w:kinsoku/>
        <w:overflowPunct/>
        <w:topLinePunct w:val="0"/>
        <w:bidi w:val="0"/>
        <w:snapToGrid/>
        <w:spacing w:line="600" w:lineRule="exact"/>
        <w:ind w:left="0" w:leftChars="0" w:right="0" w:firstLine="640" w:firstLineChars="200"/>
        <w:textAlignment w:val="auto"/>
        <w:rPr>
          <w:rFonts w:hint="eastAsia" w:ascii="仿宋" w:hAnsi="仿宋" w:eastAsia="仿宋" w:cs="仿宋"/>
          <w:color w:val="auto"/>
          <w:spacing w:val="0"/>
          <w:sz w:val="32"/>
          <w:szCs w:val="32"/>
          <w:lang w:eastAsia="zh-CN"/>
        </w:rPr>
      </w:pPr>
      <w:r>
        <w:rPr>
          <w:rFonts w:hint="eastAsia" w:ascii="仿宋" w:hAnsi="仿宋" w:eastAsia="仿宋" w:cs="仿宋"/>
          <w:sz w:val="32"/>
          <w:szCs w:val="32"/>
        </w:rPr>
        <w:t>1.因公出国（境）费支出预算为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color w:val="auto"/>
          <w:spacing w:val="0"/>
          <w:sz w:val="32"/>
          <w:szCs w:val="32"/>
        </w:rPr>
        <w:t>与上年</w:t>
      </w:r>
      <w:r>
        <w:rPr>
          <w:rFonts w:hint="eastAsia" w:ascii="仿宋" w:hAnsi="仿宋" w:eastAsia="仿宋" w:cs="仿宋"/>
          <w:color w:val="auto"/>
          <w:spacing w:val="0"/>
          <w:sz w:val="32"/>
          <w:szCs w:val="32"/>
          <w:lang w:eastAsia="zh-CN"/>
        </w:rPr>
        <w:t>相比持平，</w:t>
      </w:r>
      <w:r>
        <w:rPr>
          <w:rFonts w:hint="eastAsia" w:ascii="仿宋" w:hAnsi="仿宋" w:eastAsia="仿宋" w:cs="仿宋"/>
          <w:color w:val="auto"/>
          <w:spacing w:val="0"/>
          <w:sz w:val="32"/>
          <w:szCs w:val="32"/>
          <w:lang w:val="en-US" w:eastAsia="zh-CN"/>
        </w:rPr>
        <w:t>持平的主要原因是无因公出国</w:t>
      </w:r>
      <w:r>
        <w:rPr>
          <w:rFonts w:hint="eastAsia" w:ascii="仿宋" w:hAnsi="仿宋" w:eastAsia="仿宋" w:cs="仿宋"/>
          <w:b w:val="0"/>
          <w:bCs w:val="0"/>
          <w:color w:val="auto"/>
          <w:spacing w:val="0"/>
          <w:sz w:val="32"/>
          <w:szCs w:val="32"/>
          <w:lang w:val="en-US" w:eastAsia="zh-CN"/>
        </w:rPr>
        <w:t>(境)费支出</w:t>
      </w:r>
      <w:r>
        <w:rPr>
          <w:rFonts w:hint="eastAsia" w:ascii="仿宋" w:hAnsi="仿宋" w:eastAsia="仿宋" w:cs="仿宋"/>
          <w:color w:val="auto"/>
          <w:spacing w:val="0"/>
          <w:sz w:val="32"/>
          <w:szCs w:val="32"/>
          <w:lang w:eastAsia="zh-CN"/>
        </w:rPr>
        <w:t>。</w:t>
      </w:r>
    </w:p>
    <w:p w14:paraId="2A815ABF">
      <w:pPr>
        <w:pStyle w:val="12"/>
        <w:keepNext w:val="0"/>
        <w:keepLines w:val="0"/>
        <w:pageBreakBefore w:val="0"/>
        <w:kinsoku/>
        <w:overflowPunct/>
        <w:topLinePunct w:val="0"/>
        <w:bidi w:val="0"/>
        <w:snapToGrid/>
        <w:spacing w:line="600" w:lineRule="exact"/>
        <w:ind w:right="0" w:firstLine="640" w:firstLineChars="200"/>
        <w:textAlignment w:val="auto"/>
        <w:rPr>
          <w:rFonts w:hint="eastAsia" w:ascii="仿宋" w:hAnsi="仿宋" w:eastAsia="仿宋" w:cs="仿宋"/>
          <w:color w:val="auto"/>
          <w:spacing w:val="0"/>
          <w:sz w:val="32"/>
          <w:szCs w:val="32"/>
          <w:lang w:eastAsia="zh-CN"/>
        </w:rPr>
      </w:pPr>
      <w:r>
        <w:rPr>
          <w:rFonts w:hint="eastAsia" w:ascii="仿宋" w:hAnsi="仿宋" w:eastAsia="仿宋" w:cs="仿宋"/>
          <w:sz w:val="32"/>
          <w:szCs w:val="32"/>
        </w:rPr>
        <w:t>2.公务用车购置费及运行维护费支出预算为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color w:val="auto"/>
          <w:spacing w:val="0"/>
          <w:sz w:val="32"/>
          <w:szCs w:val="32"/>
        </w:rPr>
        <w:t>与上年</w:t>
      </w:r>
      <w:r>
        <w:rPr>
          <w:rFonts w:hint="eastAsia" w:ascii="仿宋" w:hAnsi="仿宋" w:eastAsia="仿宋" w:cs="仿宋"/>
          <w:color w:val="auto"/>
          <w:spacing w:val="0"/>
          <w:sz w:val="32"/>
          <w:szCs w:val="32"/>
          <w:lang w:eastAsia="zh-CN"/>
        </w:rPr>
        <w:t>相比持平，</w:t>
      </w:r>
      <w:r>
        <w:rPr>
          <w:rFonts w:hint="eastAsia" w:ascii="仿宋" w:hAnsi="仿宋" w:eastAsia="仿宋" w:cs="仿宋"/>
          <w:color w:val="auto"/>
          <w:spacing w:val="0"/>
          <w:sz w:val="32"/>
          <w:szCs w:val="32"/>
          <w:lang w:val="en-US" w:eastAsia="zh-CN"/>
        </w:rPr>
        <w:t>持平的主要原因是无</w:t>
      </w:r>
      <w:r>
        <w:rPr>
          <w:rFonts w:hint="eastAsia" w:ascii="仿宋" w:hAnsi="仿宋" w:eastAsia="仿宋" w:cs="仿宋"/>
          <w:sz w:val="32"/>
          <w:szCs w:val="32"/>
        </w:rPr>
        <w:t>公务用车购置费及运行维护费</w:t>
      </w:r>
      <w:r>
        <w:rPr>
          <w:rFonts w:hint="eastAsia" w:ascii="仿宋" w:hAnsi="仿宋" w:eastAsia="仿宋" w:cs="仿宋"/>
          <w:b w:val="0"/>
          <w:bCs w:val="0"/>
          <w:color w:val="auto"/>
          <w:spacing w:val="0"/>
          <w:sz w:val="32"/>
          <w:szCs w:val="32"/>
          <w:lang w:val="en-US" w:eastAsia="zh-CN"/>
        </w:rPr>
        <w:t>支出</w:t>
      </w:r>
      <w:r>
        <w:rPr>
          <w:rFonts w:hint="eastAsia" w:ascii="仿宋" w:hAnsi="仿宋" w:eastAsia="仿宋" w:cs="仿宋"/>
          <w:color w:val="auto"/>
          <w:spacing w:val="0"/>
          <w:sz w:val="32"/>
          <w:szCs w:val="32"/>
          <w:lang w:eastAsia="zh-CN"/>
        </w:rPr>
        <w:t>。</w:t>
      </w:r>
    </w:p>
    <w:p w14:paraId="46360DDB">
      <w:pPr>
        <w:pStyle w:val="12"/>
        <w:keepNext w:val="0"/>
        <w:keepLines w:val="0"/>
        <w:pageBreakBefore w:val="0"/>
        <w:kinsoku/>
        <w:overflowPunct/>
        <w:topLinePunct w:val="0"/>
        <w:bidi w:val="0"/>
        <w:snapToGrid/>
        <w:spacing w:line="600" w:lineRule="exact"/>
        <w:ind w:right="0" w:firstLine="640" w:firstLineChars="200"/>
        <w:textAlignment w:val="auto"/>
        <w:rPr>
          <w:rFonts w:hint="eastAsia" w:ascii="仿宋" w:hAnsi="仿宋" w:eastAsia="仿宋" w:cs="仿宋"/>
          <w:color w:val="auto"/>
          <w:spacing w:val="0"/>
          <w:sz w:val="32"/>
          <w:szCs w:val="32"/>
          <w:lang w:eastAsia="zh-CN"/>
        </w:rPr>
      </w:pPr>
      <w:r>
        <w:rPr>
          <w:rFonts w:hint="eastAsia" w:ascii="仿宋" w:hAnsi="仿宋" w:eastAsia="仿宋" w:cs="仿宋"/>
          <w:sz w:val="32"/>
          <w:szCs w:val="32"/>
        </w:rPr>
        <w:t>3.公务接待费支出预算为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color w:val="auto"/>
          <w:spacing w:val="0"/>
          <w:sz w:val="32"/>
          <w:szCs w:val="32"/>
        </w:rPr>
        <w:t>与上年</w:t>
      </w:r>
      <w:r>
        <w:rPr>
          <w:rFonts w:hint="eastAsia" w:ascii="仿宋" w:hAnsi="仿宋" w:eastAsia="仿宋" w:cs="仿宋"/>
          <w:color w:val="auto"/>
          <w:spacing w:val="0"/>
          <w:sz w:val="32"/>
          <w:szCs w:val="32"/>
          <w:lang w:eastAsia="zh-CN"/>
        </w:rPr>
        <w:t>相比持平，</w:t>
      </w:r>
      <w:r>
        <w:rPr>
          <w:rFonts w:hint="eastAsia" w:ascii="仿宋" w:hAnsi="仿宋" w:eastAsia="仿宋" w:cs="仿宋"/>
          <w:color w:val="auto"/>
          <w:spacing w:val="0"/>
          <w:sz w:val="32"/>
          <w:szCs w:val="32"/>
          <w:lang w:val="en-US" w:eastAsia="zh-CN"/>
        </w:rPr>
        <w:t>持平的主要原因是无</w:t>
      </w:r>
      <w:r>
        <w:rPr>
          <w:rFonts w:hint="eastAsia" w:ascii="仿宋" w:hAnsi="仿宋" w:eastAsia="仿宋" w:cs="仿宋"/>
          <w:sz w:val="32"/>
          <w:szCs w:val="32"/>
        </w:rPr>
        <w:t>公务接待费支出</w:t>
      </w:r>
      <w:r>
        <w:rPr>
          <w:rFonts w:hint="eastAsia" w:ascii="仿宋" w:hAnsi="仿宋" w:eastAsia="仿宋" w:cs="仿宋"/>
          <w:sz w:val="32"/>
          <w:szCs w:val="32"/>
          <w:lang w:eastAsia="zh-CN"/>
        </w:rPr>
        <w:t>。</w:t>
      </w:r>
    </w:p>
    <w:p w14:paraId="19BED126">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八、政府性基金预算收入支出决算情况</w:t>
      </w:r>
    </w:p>
    <w:p w14:paraId="4B7ED47E">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color w:val="auto"/>
          <w:spacing w:val="0"/>
          <w:sz w:val="32"/>
          <w:szCs w:val="32"/>
        </w:rPr>
        <w:t>202</w:t>
      </w:r>
      <w:r>
        <w:rPr>
          <w:rFonts w:hint="eastAsia" w:ascii="仿宋" w:hAnsi="仿宋" w:eastAsia="仿宋" w:cs="仿宋"/>
          <w:color w:val="auto"/>
          <w:spacing w:val="0"/>
          <w:sz w:val="32"/>
          <w:szCs w:val="32"/>
          <w:lang w:val="en-US" w:eastAsia="zh-CN"/>
        </w:rPr>
        <w:t>5</w:t>
      </w:r>
      <w:r>
        <w:rPr>
          <w:rFonts w:hint="eastAsia" w:ascii="仿宋" w:hAnsi="仿宋" w:eastAsia="仿宋" w:cs="仿宋"/>
          <w:color w:val="auto"/>
          <w:spacing w:val="0"/>
          <w:sz w:val="32"/>
          <w:szCs w:val="32"/>
        </w:rPr>
        <w:t>年度本单位无政府性基金收支</w:t>
      </w:r>
      <w:r>
        <w:rPr>
          <w:rFonts w:hint="eastAsia" w:ascii="仿宋" w:hAnsi="仿宋" w:eastAsia="仿宋" w:cs="仿宋"/>
          <w:color w:val="auto"/>
          <w:spacing w:val="0"/>
          <w:sz w:val="32"/>
          <w:szCs w:val="32"/>
          <w:lang w:eastAsia="zh-CN"/>
        </w:rPr>
        <w:t>。</w:t>
      </w:r>
    </w:p>
    <w:p w14:paraId="055DE86E">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九、关于机关运行经费支出说明</w:t>
      </w:r>
    </w:p>
    <w:p w14:paraId="7F960E33">
      <w:pPr>
        <w:pStyle w:val="12"/>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，与上年相比持平</w:t>
      </w:r>
      <w:r>
        <w:rPr>
          <w:rFonts w:hint="eastAsia" w:ascii="仿宋" w:hAnsi="仿宋" w:eastAsia="仿宋" w:cs="仿宋"/>
          <w:sz w:val="32"/>
          <w:szCs w:val="32"/>
          <w:lang w:val="en-US" w:eastAsia="zh-CN"/>
        </w:rPr>
        <w:t>,持平的主要原因是基地严格遵循预算管理规定,按照实际工作需求和往年支出情况,在执行过程中没有出现预算外的支出情况。</w:t>
      </w:r>
    </w:p>
    <w:p w14:paraId="64A26D0D">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十、一般性支出情况说明</w:t>
      </w:r>
    </w:p>
    <w:p w14:paraId="252462C8">
      <w:pPr>
        <w:pStyle w:val="12"/>
        <w:overflowPunct w:val="0"/>
        <w:autoSpaceDE/>
        <w:autoSpaceDN/>
        <w:spacing w:line="600" w:lineRule="exact"/>
        <w:ind w:firstLine="640" w:firstLineChars="200"/>
        <w:jc w:val="both"/>
        <w:rPr>
          <w:rFonts w:hint="eastAsia" w:ascii="仿宋" w:hAnsi="仿宋" w:eastAsia="仿宋" w:cs="仿宋"/>
          <w:b/>
          <w:bCs/>
          <w:i/>
          <w:color w:val="auto"/>
          <w:sz w:val="32"/>
          <w:szCs w:val="32"/>
          <w:lang w:eastAsia="zh-CN"/>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年本部门开支会议费</w:t>
      </w:r>
      <w:r>
        <w:rPr>
          <w:rFonts w:hint="eastAsia" w:ascii="仿宋" w:hAnsi="仿宋" w:eastAsia="仿宋" w:cs="仿宋"/>
          <w:sz w:val="32"/>
          <w:szCs w:val="32"/>
          <w:lang w:val="en-US" w:eastAsia="zh-CN"/>
        </w:rPr>
        <w:t>0</w:t>
      </w:r>
      <w:r>
        <w:rPr>
          <w:rFonts w:hint="eastAsia" w:ascii="仿宋" w:hAnsi="仿宋" w:eastAsia="仿宋" w:cs="仿宋"/>
          <w:sz w:val="32"/>
          <w:szCs w:val="32"/>
        </w:rPr>
        <w:t>万元，用于召开</w:t>
      </w:r>
      <w:r>
        <w:rPr>
          <w:rFonts w:hint="eastAsia" w:ascii="仿宋" w:hAnsi="仿宋" w:eastAsia="仿宋" w:cs="仿宋"/>
          <w:sz w:val="32"/>
          <w:szCs w:val="32"/>
          <w:lang w:val="en-US" w:eastAsia="zh-CN"/>
        </w:rPr>
        <w:t>0次</w:t>
      </w:r>
      <w:r>
        <w:rPr>
          <w:rFonts w:hint="eastAsia" w:ascii="仿宋" w:hAnsi="仿宋" w:eastAsia="仿宋" w:cs="仿宋"/>
          <w:sz w:val="32"/>
          <w:szCs w:val="32"/>
        </w:rPr>
        <w:t>会议，人数</w:t>
      </w:r>
      <w:r>
        <w:rPr>
          <w:rFonts w:hint="eastAsia" w:ascii="仿宋" w:hAnsi="仿宋" w:eastAsia="仿宋" w:cs="仿宋"/>
          <w:sz w:val="32"/>
          <w:szCs w:val="32"/>
          <w:lang w:val="en-US" w:eastAsia="zh-CN"/>
        </w:rPr>
        <w:t>0</w:t>
      </w:r>
      <w:r>
        <w:rPr>
          <w:rFonts w:hint="eastAsia" w:ascii="仿宋" w:hAnsi="仿宋" w:eastAsia="仿宋" w:cs="仿宋"/>
          <w:sz w:val="32"/>
          <w:szCs w:val="32"/>
        </w:rPr>
        <w:t>人；开支培训费</w:t>
      </w:r>
      <w:r>
        <w:rPr>
          <w:rFonts w:hint="eastAsia" w:ascii="仿宋" w:hAnsi="仿宋" w:eastAsia="仿宋" w:cs="仿宋"/>
          <w:sz w:val="32"/>
          <w:szCs w:val="32"/>
          <w:lang w:val="en-US" w:eastAsia="zh-CN"/>
        </w:rPr>
        <w:t>1.50</w:t>
      </w:r>
      <w:r>
        <w:rPr>
          <w:rFonts w:hint="eastAsia" w:ascii="仿宋" w:hAnsi="仿宋" w:eastAsia="仿宋" w:cs="仿宋"/>
          <w:sz w:val="32"/>
          <w:szCs w:val="32"/>
        </w:rPr>
        <w:t>万元，用于开展</w:t>
      </w:r>
      <w:r>
        <w:rPr>
          <w:rFonts w:hint="eastAsia" w:ascii="仿宋" w:hAnsi="仿宋" w:eastAsia="仿宋" w:cs="仿宋"/>
          <w:sz w:val="32"/>
          <w:szCs w:val="32"/>
          <w:lang w:eastAsia="zh-CN"/>
        </w:rPr>
        <w:t>本单位事业人员业务能力提升培训以及民兵相关业务</w:t>
      </w:r>
      <w:r>
        <w:rPr>
          <w:rFonts w:hint="eastAsia" w:ascii="仿宋" w:hAnsi="仿宋" w:eastAsia="仿宋" w:cs="仿宋"/>
          <w:sz w:val="32"/>
          <w:szCs w:val="32"/>
        </w:rPr>
        <w:t>培训；举办</w:t>
      </w:r>
      <w:r>
        <w:rPr>
          <w:rFonts w:hint="eastAsia" w:ascii="仿宋" w:hAnsi="仿宋" w:eastAsia="仿宋" w:cs="仿宋"/>
          <w:sz w:val="32"/>
          <w:szCs w:val="32"/>
          <w:lang w:val="en-US" w:eastAsia="zh-CN"/>
        </w:rPr>
        <w:t>0次</w:t>
      </w:r>
      <w:r>
        <w:rPr>
          <w:rFonts w:hint="eastAsia" w:ascii="仿宋" w:hAnsi="仿宋" w:eastAsia="仿宋" w:cs="仿宋"/>
          <w:sz w:val="32"/>
          <w:szCs w:val="32"/>
        </w:rPr>
        <w:t>等节庆、晚会、论坛、赛事活动，开支</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eastAsia="zh-CN"/>
        </w:rPr>
        <w:t>。</w:t>
      </w:r>
    </w:p>
    <w:p w14:paraId="02E53439">
      <w:pPr>
        <w:pStyle w:val="12"/>
        <w:overflowPunct w:val="0"/>
        <w:autoSpaceDE/>
        <w:autoSpaceDN/>
        <w:spacing w:line="600" w:lineRule="exact"/>
        <w:ind w:firstLine="640" w:firstLineChars="200"/>
        <w:jc w:val="both"/>
        <w:rPr>
          <w:rFonts w:hint="eastAsia" w:ascii="仿宋" w:hAnsi="仿宋" w:eastAsia="仿宋" w:cs="仿宋"/>
          <w:bCs/>
          <w:sz w:val="32"/>
          <w:szCs w:val="32"/>
        </w:rPr>
      </w:pPr>
      <w:r>
        <w:rPr>
          <w:rFonts w:hint="eastAsia" w:ascii="仿宋" w:hAnsi="仿宋" w:eastAsia="仿宋" w:cs="仿宋"/>
          <w:bCs/>
          <w:sz w:val="32"/>
          <w:szCs w:val="32"/>
        </w:rPr>
        <w:t>十一、关于政府采购支出说明</w:t>
      </w:r>
    </w:p>
    <w:p w14:paraId="4D68540F">
      <w:pPr>
        <w:pStyle w:val="12"/>
        <w:overflowPunct w:val="0"/>
        <w:autoSpaceDE/>
        <w:autoSpaceDN/>
        <w:spacing w:line="600" w:lineRule="exact"/>
        <w:ind w:firstLine="640" w:firstLineChars="200"/>
        <w:jc w:val="both"/>
        <w:rPr>
          <w:rFonts w:hint="eastAsia" w:ascii="仿宋" w:hAnsi="仿宋" w:eastAsia="仿宋" w:cs="仿宋"/>
          <w:b/>
          <w:bCs/>
          <w:i/>
          <w:color w:val="auto"/>
          <w:sz w:val="32"/>
          <w:szCs w:val="32"/>
        </w:rPr>
      </w:pPr>
      <w:r>
        <w:rPr>
          <w:rFonts w:hint="eastAsia" w:ascii="仿宋" w:hAnsi="仿宋" w:eastAsia="仿宋" w:cs="仿宋"/>
          <w:sz w:val="32"/>
          <w:szCs w:val="32"/>
        </w:rPr>
        <w:t>本部门202</w:t>
      </w:r>
      <w:r>
        <w:rPr>
          <w:rFonts w:hint="eastAsia" w:ascii="仿宋" w:hAnsi="仿宋" w:eastAsia="仿宋" w:cs="仿宋"/>
          <w:sz w:val="32"/>
          <w:szCs w:val="32"/>
          <w:lang w:val="en-US" w:eastAsia="zh-CN"/>
        </w:rPr>
        <w:t>5</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33.51</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15.26</w:t>
      </w:r>
      <w:r>
        <w:rPr>
          <w:rFonts w:hint="eastAsia" w:ascii="仿宋" w:hAnsi="仿宋" w:eastAsia="仿宋" w:cs="仿宋"/>
          <w:sz w:val="32"/>
          <w:szCs w:val="32"/>
        </w:rPr>
        <w:t>万元、政府采购工程支出</w:t>
      </w:r>
      <w:r>
        <w:rPr>
          <w:rFonts w:hint="eastAsia" w:ascii="仿宋" w:hAnsi="仿宋" w:eastAsia="仿宋" w:cs="仿宋"/>
          <w:sz w:val="32"/>
          <w:szCs w:val="32"/>
          <w:lang w:val="en-US" w:eastAsia="zh-CN"/>
        </w:rPr>
        <w:t>18.25</w:t>
      </w:r>
      <w:r>
        <w:rPr>
          <w:rFonts w:hint="eastAsia" w:ascii="仿宋" w:hAnsi="仿宋" w:eastAsia="仿宋" w:cs="仿宋"/>
          <w:sz w:val="32"/>
          <w:szCs w:val="32"/>
        </w:rPr>
        <w:t>万元、政府采购服务支出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万元。授予中小企业合同金额</w:t>
      </w:r>
      <w:r>
        <w:rPr>
          <w:rFonts w:hint="eastAsia" w:ascii="仿宋" w:hAnsi="仿宋" w:eastAsia="仿宋" w:cs="仿宋"/>
          <w:sz w:val="32"/>
          <w:szCs w:val="32"/>
          <w:lang w:val="en-US" w:eastAsia="zh-CN"/>
        </w:rPr>
        <w:t>19.26</w:t>
      </w:r>
      <w:r>
        <w:rPr>
          <w:rFonts w:hint="eastAsia" w:ascii="仿宋" w:hAnsi="仿宋" w:eastAsia="仿宋" w:cs="仿宋"/>
          <w:sz w:val="32"/>
          <w:szCs w:val="32"/>
        </w:rPr>
        <w:t>万元，占政府采购支出总额的</w:t>
      </w:r>
      <w:r>
        <w:rPr>
          <w:rFonts w:hint="eastAsia" w:ascii="仿宋" w:hAnsi="仿宋" w:eastAsia="仿宋" w:cs="仿宋"/>
          <w:sz w:val="32"/>
          <w:szCs w:val="32"/>
          <w:lang w:val="en-US" w:eastAsia="zh-CN"/>
        </w:rPr>
        <w:t>57.48</w:t>
      </w:r>
      <w:r>
        <w:rPr>
          <w:rFonts w:hint="eastAsia" w:ascii="仿宋" w:hAnsi="仿宋" w:eastAsia="仿宋" w:cs="仿宋"/>
          <w:sz w:val="32"/>
          <w:szCs w:val="32"/>
        </w:rPr>
        <w:t>%，其中：授予小微企业合同金额</w:t>
      </w:r>
      <w:r>
        <w:rPr>
          <w:rFonts w:hint="eastAsia" w:ascii="仿宋" w:hAnsi="仿宋" w:eastAsia="仿宋" w:cs="仿宋"/>
          <w:sz w:val="32"/>
          <w:szCs w:val="32"/>
          <w:lang w:val="en-US" w:eastAsia="zh-CN"/>
        </w:rPr>
        <w:t>19.26</w:t>
      </w:r>
      <w:r>
        <w:rPr>
          <w:rFonts w:hint="eastAsia" w:ascii="仿宋" w:hAnsi="仿宋" w:eastAsia="仿宋" w:cs="仿宋"/>
          <w:sz w:val="32"/>
          <w:szCs w:val="32"/>
        </w:rPr>
        <w:t>万元，</w:t>
      </w:r>
      <w:r>
        <w:rPr>
          <w:rFonts w:hint="eastAsia" w:ascii="仿宋" w:hAnsi="仿宋" w:eastAsia="仿宋" w:cs="仿宋"/>
          <w:color w:val="auto"/>
          <w:sz w:val="32"/>
          <w:szCs w:val="32"/>
        </w:rPr>
        <w:t>占授予中小企业合同金额的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%。货物采购授予中小企业合同金额占货物支出金额的</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%，工程采购授予中小企业合同金额占工程支出金额的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%，服务采购授予中小企业合同金额占服务支出金额的</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w:t>
      </w:r>
    </w:p>
    <w:p w14:paraId="72056CFF">
      <w:pPr>
        <w:pStyle w:val="12"/>
        <w:overflowPunct w:val="0"/>
        <w:autoSpaceDE/>
        <w:autoSpaceDN/>
        <w:spacing w:line="60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十二、关于国有资产占用情况说明</w:t>
      </w:r>
    </w:p>
    <w:p w14:paraId="76E600C8">
      <w:pPr>
        <w:pStyle w:val="12"/>
        <w:overflowPunct w:val="0"/>
        <w:autoSpaceDE/>
        <w:autoSpaceDN/>
        <w:spacing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截至202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年12月31日，部门（单位）共有车辆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辆，其中，副部（省）级及以上领导用车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辆、主要负责人用车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辆、机要通信用车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辆、应急保障用车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辆、执法执勤用车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辆、特种专业技术用车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辆、离退休干部服务用车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辆、其他用车</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辆；单位价值100万元以上设备（不含车辆）</w:t>
      </w:r>
      <w:r>
        <w:rPr>
          <w:rFonts w:hint="eastAsia" w:ascii="仿宋" w:hAnsi="仿宋" w:eastAsia="仿宋" w:cs="仿宋"/>
          <w:color w:val="auto"/>
          <w:sz w:val="32"/>
          <w:szCs w:val="32"/>
          <w:lang w:val="en-US" w:eastAsia="zh-CN"/>
        </w:rPr>
        <w:t>0</w:t>
      </w:r>
      <w:r>
        <w:rPr>
          <w:rFonts w:hint="eastAsia" w:ascii="仿宋" w:hAnsi="仿宋" w:eastAsia="仿宋" w:cs="仿宋"/>
          <w:color w:val="auto"/>
          <w:sz w:val="32"/>
          <w:szCs w:val="32"/>
        </w:rPr>
        <w:t>台（套）。</w:t>
      </w:r>
    </w:p>
    <w:p w14:paraId="12856170">
      <w:pPr>
        <w:pStyle w:val="12"/>
        <w:overflowPunct w:val="0"/>
        <w:autoSpaceDE/>
        <w:autoSpaceDN/>
        <w:spacing w:line="60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bCs/>
          <w:color w:val="auto"/>
          <w:sz w:val="32"/>
          <w:szCs w:val="32"/>
        </w:rPr>
        <w:t>十三、关于</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5</w:t>
      </w:r>
      <w:r>
        <w:rPr>
          <w:rFonts w:hint="eastAsia" w:ascii="仿宋" w:hAnsi="仿宋" w:eastAsia="仿宋" w:cs="仿宋"/>
          <w:bCs/>
          <w:color w:val="auto"/>
          <w:sz w:val="32"/>
          <w:szCs w:val="32"/>
        </w:rPr>
        <w:t>年度预算绩效情况的说明</w:t>
      </w:r>
    </w:p>
    <w:p w14:paraId="7A3D3AC9">
      <w:pPr>
        <w:pStyle w:val="12"/>
        <w:keepNext w:val="0"/>
        <w:keepLines w:val="0"/>
        <w:pageBreakBefore w:val="0"/>
        <w:kinsoku/>
        <w:overflowPunct/>
        <w:topLinePunct w:val="0"/>
        <w:bidi w:val="0"/>
        <w:snapToGrid/>
        <w:spacing w:line="600" w:lineRule="exact"/>
        <w:ind w:left="0" w:leftChars="0" w:right="0" w:firstLine="640" w:firstLineChars="200"/>
        <w:jc w:val="both"/>
        <w:textAlignment w:val="auto"/>
        <w:rPr>
          <w:rFonts w:hint="eastAsia" w:ascii="仿宋" w:hAnsi="仿宋" w:eastAsia="仿宋" w:cs="仿宋"/>
          <w:color w:val="3C3C3C"/>
          <w:spacing w:val="0"/>
          <w:sz w:val="32"/>
          <w:szCs w:val="32"/>
          <w:shd w:val="clear" w:color="auto" w:fill="FFFFFF"/>
        </w:rPr>
      </w:pPr>
      <w:r>
        <w:rPr>
          <w:rFonts w:hint="eastAsia" w:ascii="仿宋" w:hAnsi="仿宋" w:eastAsia="仿宋" w:cs="仿宋"/>
          <w:color w:val="auto"/>
          <w:spacing w:val="0"/>
          <w:kern w:val="2"/>
          <w:sz w:val="32"/>
          <w:szCs w:val="32"/>
          <w:lang w:val="en-US" w:eastAsia="zh-CN" w:bidi="ar-SA"/>
        </w:rPr>
        <w:t>（一）本部门2025年整体支出94.32万元。其中，基本支出94.32万元，项目支出0万元,本年度重点项目支出0万元。其中：基本支出主要列支人员工资福利和公用工作经费。</w:t>
      </w:r>
    </w:p>
    <w:p w14:paraId="05695CE5">
      <w:pPr>
        <w:pStyle w:val="12"/>
        <w:keepNext w:val="0"/>
        <w:keepLines w:val="0"/>
        <w:pageBreakBefore w:val="0"/>
        <w:kinsoku/>
        <w:overflowPunct/>
        <w:topLinePunct w:val="0"/>
        <w:bidi w:val="0"/>
        <w:snapToGrid/>
        <w:spacing w:line="600" w:lineRule="exact"/>
        <w:ind w:left="0" w:leftChars="0" w:right="0" w:firstLine="640" w:firstLineChars="200"/>
        <w:jc w:val="both"/>
        <w:textAlignment w:val="auto"/>
        <w:rPr>
          <w:rFonts w:hint="eastAsia" w:ascii="仿宋" w:hAnsi="仿宋" w:eastAsia="仿宋" w:cs="仿宋"/>
          <w:color w:val="auto"/>
          <w:spacing w:val="0"/>
          <w:kern w:val="2"/>
          <w:sz w:val="32"/>
          <w:szCs w:val="32"/>
          <w:lang w:val="en-US" w:eastAsia="zh-CN" w:bidi="ar-SA"/>
        </w:rPr>
      </w:pPr>
      <w:r>
        <w:rPr>
          <w:rFonts w:hint="eastAsia" w:ascii="仿宋" w:hAnsi="仿宋" w:eastAsia="仿宋" w:cs="仿宋"/>
          <w:color w:val="auto"/>
          <w:spacing w:val="0"/>
          <w:kern w:val="2"/>
          <w:sz w:val="32"/>
          <w:szCs w:val="32"/>
          <w:lang w:val="en-US" w:eastAsia="zh-CN" w:bidi="ar-SA"/>
        </w:rPr>
        <w:t>（二）本单位按照县财政局绩效管理股的要求，从预算的执行、控制与调整，决算与绩效评价等方面对专项资金进行管理，做到了专项资金预算编制有目标、预算执行有监控、预算完成有评价、评价结果有反馈、反馈结果有应用。</w:t>
      </w:r>
    </w:p>
    <w:p w14:paraId="0009C493">
      <w:pPr>
        <w:pStyle w:val="12"/>
        <w:numPr>
          <w:ilvl w:val="0"/>
          <w:numId w:val="0"/>
        </w:numPr>
        <w:overflowPunct w:val="0"/>
        <w:autoSpaceDE/>
        <w:autoSpaceDN/>
        <w:spacing w:line="600" w:lineRule="exact"/>
        <w:ind w:firstLine="960" w:firstLineChars="3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年度民兵训练基地决算评价工作全面、客观地反映了基地的资金使用效益和工作执行情况。基于绩效自评结果、部门评价结果以及财政评价结果，我们对202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年度预算安排、支出结构调整和资金管理制度建设等方面进行了如下优化与应用：</w:t>
      </w:r>
      <w:r>
        <w:rPr>
          <w:rFonts w:hint="eastAsia" w:ascii="仿宋" w:hAnsi="仿宋" w:eastAsia="仿宋" w:cs="仿宋"/>
          <w:color w:val="auto"/>
          <w:sz w:val="32"/>
          <w:szCs w:val="32"/>
          <w:lang w:val="en-US" w:eastAsia="zh-CN"/>
        </w:rPr>
        <w:t xml:space="preserve"> </w:t>
      </w:r>
    </w:p>
    <w:p w14:paraId="28ED1D89">
      <w:pPr>
        <w:pStyle w:val="12"/>
        <w:numPr>
          <w:ilvl w:val="0"/>
          <w:numId w:val="0"/>
        </w:numPr>
        <w:overflowPunct w:val="0"/>
        <w:autoSpaceDE/>
        <w:autoSpaceDN/>
        <w:spacing w:line="600" w:lineRule="exact"/>
        <w:ind w:firstLine="960" w:firstLineChars="300"/>
        <w:jc w:val="both"/>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eastAsia="zh-CN"/>
        </w:rPr>
        <w:t>是</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年度预算安排调整</w:t>
      </w:r>
    </w:p>
    <w:p w14:paraId="2662AF75">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 xml:space="preserve"> 1. 精准预算编制：依据202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年决算评价中关于各项训练任务成本的分析，对202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年预算进行精细化编制。如在民兵战术训练预算中，根据去年训练物资实际消耗和训练时长，更精确地安排训练器材购置、场地租赁等费用，避免预算偏差。</w:t>
      </w:r>
    </w:p>
    <w:p w14:paraId="66FE5E3A">
      <w:pPr>
        <w:pStyle w:val="12"/>
        <w:numPr>
          <w:ilvl w:val="0"/>
          <w:numId w:val="0"/>
        </w:numPr>
        <w:overflowPunct w:val="0"/>
        <w:autoSpaceDE/>
        <w:autoSpaceDN/>
        <w:spacing w:line="600" w:lineRule="exact"/>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 重点项目倾斜：对于在202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年评价中成效显著的项目，如国防教育进校园活动，202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年加大预算支持</w:t>
      </w:r>
      <w:r>
        <w:rPr>
          <w:rFonts w:hint="eastAsia" w:ascii="仿宋" w:hAnsi="仿宋" w:eastAsia="仿宋" w:cs="仿宋"/>
          <w:color w:val="auto"/>
          <w:sz w:val="32"/>
          <w:szCs w:val="32"/>
          <w:lang w:eastAsia="zh-CN"/>
        </w:rPr>
        <w:t>。</w:t>
      </w:r>
    </w:p>
    <w:p w14:paraId="11232D25">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3. 弹性预算设置：考虑到训练任务可能因应急情况或政策调整发生变化，在202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年预算中预留一定比例的弹性资金，用于应对临时性训练任务或突发情况，确保训练工作不受资金制约。</w:t>
      </w:r>
    </w:p>
    <w:p w14:paraId="5BE37F33">
      <w:pPr>
        <w:pStyle w:val="12"/>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二是</w:t>
      </w:r>
      <w:r>
        <w:rPr>
          <w:rFonts w:hint="eastAsia" w:ascii="仿宋" w:hAnsi="仿宋" w:eastAsia="仿宋" w:cs="仿宋"/>
          <w:color w:val="auto"/>
          <w:sz w:val="32"/>
          <w:szCs w:val="32"/>
        </w:rPr>
        <w:t>支出结构优化调整</w:t>
      </w:r>
    </w:p>
    <w:p w14:paraId="5FDA96E3">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 xml:space="preserve"> 1. 资源合理分配：参考202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年评价中各项目资金使用效率，减少对低效项目的投入，将资金更多地投向核心训练任务和关键保障环节。</w:t>
      </w:r>
    </w:p>
    <w:p w14:paraId="08A91BD6">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2. 保障基础建设：针对评价中指出的训练场地设施老化问题，202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年加大对基础设施建设和维护的支出。计划对部分训练场地进行升级改造，提升训练安全性和舒适度，为训练工作提供更好的硬件支持。</w:t>
      </w:r>
    </w:p>
    <w:p w14:paraId="4D68D3A1">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3. 控制行政成本：严格控制机关运行经费支出，在保证工作正常开展的前提下，减少不必要的行政开支，如精简会议、优化办公用品采购流程等，将更多资金用于民兵训练和服务保障。</w:t>
      </w:r>
    </w:p>
    <w:p w14:paraId="13E8B5C5">
      <w:pPr>
        <w:pStyle w:val="12"/>
        <w:numPr>
          <w:ilvl w:val="0"/>
          <w:numId w:val="0"/>
        </w:numPr>
        <w:overflowPunct w:val="0"/>
        <w:autoSpaceDE/>
        <w:autoSpaceDN/>
        <w:spacing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三是</w:t>
      </w:r>
      <w:r>
        <w:rPr>
          <w:rFonts w:hint="eastAsia" w:ascii="仿宋" w:hAnsi="仿宋" w:eastAsia="仿宋" w:cs="仿宋"/>
          <w:color w:val="auto"/>
          <w:sz w:val="32"/>
          <w:szCs w:val="32"/>
        </w:rPr>
        <w:t>资金管理制度建设完善</w:t>
      </w:r>
    </w:p>
    <w:p w14:paraId="43BF79AE">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 xml:space="preserve"> 1. 强化预算执行监督：建立健全预算执行跟踪机制，定期对预算执行情况进行检查和分析，及时发现并纠正预算执行中的偏差。每月对各项支出进行统计分析，对进度缓慢或超预算的项目进行重点监控和调整。</w:t>
      </w:r>
    </w:p>
    <w:p w14:paraId="4E6ECBE2">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2. 规范资金审批流程：完善资金审批制度，明确审批权限和流程，确保每一笔资金的使用都经过严格审核。对大额资金支出实行集体决策和联签制度，加强资金使用的风险防控。</w:t>
      </w:r>
    </w:p>
    <w:p w14:paraId="0DDC6AF2">
      <w:pPr>
        <w:pStyle w:val="12"/>
        <w:numPr>
          <w:ilvl w:val="0"/>
          <w:numId w:val="0"/>
        </w:numPr>
        <w:overflowPunct w:val="0"/>
        <w:autoSpaceDE/>
        <w:autoSpaceDN/>
        <w:spacing w:line="600" w:lineRule="exact"/>
        <w:jc w:val="both"/>
        <w:rPr>
          <w:rFonts w:hint="eastAsia" w:ascii="仿宋" w:hAnsi="仿宋" w:eastAsia="仿宋" w:cs="仿宋"/>
          <w:color w:val="auto"/>
          <w:sz w:val="32"/>
          <w:szCs w:val="32"/>
        </w:rPr>
      </w:pPr>
      <w:r>
        <w:rPr>
          <w:rFonts w:hint="eastAsia" w:ascii="仿宋" w:hAnsi="仿宋" w:eastAsia="仿宋" w:cs="仿宋"/>
          <w:color w:val="auto"/>
          <w:sz w:val="32"/>
          <w:szCs w:val="32"/>
        </w:rPr>
        <w:t>3. 加强绩效评价结果应用：将绩效评价结果作为资金分配和调整的重要依据，对绩效评价优秀的项目给予奖励和优先支持，对绩效不达标项目进行整改或削减资金。建立绩效评价结果反馈机制，将评价结果反馈给相关部门和责任人，促进工作改进和提升。</w:t>
      </w:r>
    </w:p>
    <w:p w14:paraId="311CA100">
      <w:pPr>
        <w:pStyle w:val="12"/>
        <w:jc w:val="center"/>
        <w:rPr>
          <w:rFonts w:ascii="Times New Roman" w:hAnsi="Times New Roman" w:cs="Times New Roman"/>
          <w:sz w:val="72"/>
          <w:szCs w:val="72"/>
        </w:rPr>
      </w:pPr>
    </w:p>
    <w:p w14:paraId="48365C79">
      <w:pPr>
        <w:pStyle w:val="12"/>
        <w:jc w:val="center"/>
        <w:rPr>
          <w:rFonts w:ascii="Times New Roman" w:hAnsi="Times New Roman" w:cs="Times New Roman"/>
          <w:sz w:val="72"/>
          <w:szCs w:val="72"/>
        </w:rPr>
      </w:pPr>
    </w:p>
    <w:p w14:paraId="2E3FED43">
      <w:pPr>
        <w:pStyle w:val="12"/>
        <w:jc w:val="center"/>
        <w:rPr>
          <w:rFonts w:ascii="Times New Roman" w:hAnsi="Times New Roman" w:cs="Times New Roman"/>
          <w:sz w:val="72"/>
          <w:szCs w:val="72"/>
        </w:rPr>
      </w:pPr>
    </w:p>
    <w:p w14:paraId="0AB01BC1">
      <w:pPr>
        <w:pStyle w:val="12"/>
        <w:jc w:val="center"/>
        <w:rPr>
          <w:rFonts w:ascii="Times New Roman" w:hAnsi="Times New Roman" w:cs="Times New Roman"/>
          <w:sz w:val="72"/>
          <w:szCs w:val="72"/>
        </w:rPr>
      </w:pPr>
    </w:p>
    <w:p w14:paraId="68309496">
      <w:pPr>
        <w:pStyle w:val="12"/>
        <w:jc w:val="center"/>
        <w:rPr>
          <w:rFonts w:ascii="Times New Roman" w:hAnsi="Times New Roman" w:cs="Times New Roman"/>
          <w:sz w:val="72"/>
          <w:szCs w:val="72"/>
        </w:rPr>
      </w:pPr>
    </w:p>
    <w:p w14:paraId="5CCFD6EA">
      <w:pPr>
        <w:pStyle w:val="12"/>
        <w:jc w:val="both"/>
        <w:rPr>
          <w:rFonts w:ascii="Times New Roman" w:hAnsi="Times New Roman" w:cs="Times New Roman"/>
          <w:sz w:val="72"/>
          <w:szCs w:val="72"/>
        </w:rPr>
      </w:pPr>
    </w:p>
    <w:p w14:paraId="4AA36513">
      <w:pPr>
        <w:pStyle w:val="12"/>
        <w:jc w:val="center"/>
        <w:rPr>
          <w:rFonts w:ascii="Times New Roman" w:hAnsi="Times New Roman" w:cs="Times New Roman"/>
          <w:sz w:val="72"/>
          <w:szCs w:val="72"/>
        </w:rPr>
      </w:pPr>
    </w:p>
    <w:p w14:paraId="0C864C05">
      <w:pPr>
        <w:pStyle w:val="12"/>
        <w:jc w:val="center"/>
        <w:rPr>
          <w:rFonts w:ascii="Times New Roman" w:hAnsi="Times New Roman" w:cs="Times New Roman"/>
          <w:sz w:val="72"/>
          <w:szCs w:val="72"/>
        </w:rPr>
      </w:pPr>
    </w:p>
    <w:p w14:paraId="3B982D28">
      <w:pPr>
        <w:pStyle w:val="12"/>
        <w:jc w:val="both"/>
        <w:rPr>
          <w:rFonts w:ascii="Times New Roman" w:hAnsi="Times New Roman" w:cs="Times New Roman"/>
          <w:sz w:val="72"/>
          <w:szCs w:val="72"/>
        </w:rPr>
      </w:pPr>
    </w:p>
    <w:p w14:paraId="374B2F36">
      <w:pPr>
        <w:pStyle w:val="12"/>
        <w:jc w:val="center"/>
        <w:rPr>
          <w:rFonts w:ascii="Times New Roman" w:hAnsi="Times New Roman" w:cs="Times New Roman"/>
          <w:sz w:val="72"/>
          <w:szCs w:val="72"/>
        </w:rPr>
      </w:pPr>
    </w:p>
    <w:p w14:paraId="71075617">
      <w:pPr>
        <w:pStyle w:val="12"/>
        <w:jc w:val="both"/>
        <w:rPr>
          <w:rFonts w:ascii="Times New Roman" w:hAnsi="Times New Roman" w:cs="Times New Roman"/>
          <w:sz w:val="72"/>
          <w:szCs w:val="72"/>
        </w:rPr>
      </w:pPr>
    </w:p>
    <w:p w14:paraId="58E3A1DB">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w:t>
      </w:r>
      <w:r>
        <w:rPr>
          <w:rFonts w:hint="eastAsia" w:ascii="Times New Roman" w:hAnsi="Times New Roman" w:eastAsia="方正小标宋_GBK" w:cs="Times New Roman"/>
          <w:sz w:val="52"/>
          <w:szCs w:val="52"/>
          <w:lang w:eastAsia="zh-CN"/>
        </w:rPr>
        <w:t>四</w:t>
      </w:r>
      <w:r>
        <w:rPr>
          <w:rFonts w:ascii="Times New Roman" w:hAnsi="Times New Roman" w:eastAsia="方正小标宋_GBK" w:cs="Times New Roman"/>
          <w:sz w:val="52"/>
          <w:szCs w:val="52"/>
        </w:rPr>
        <w:t>部分   附 件</w:t>
      </w:r>
    </w:p>
    <w:p w14:paraId="12CD065A">
      <w:pPr>
        <w:rPr>
          <w:rFonts w:ascii="Times New Roman" w:hAnsi="Times New Roman" w:cs="Times New Roman"/>
          <w:sz w:val="72"/>
          <w:szCs w:val="72"/>
        </w:rPr>
      </w:pPr>
    </w:p>
    <w:p w14:paraId="19EC97F4">
      <w:pPr>
        <w:spacing w:line="540" w:lineRule="exact"/>
        <w:jc w:val="center"/>
        <w:rPr>
          <w:rFonts w:ascii="仿宋" w:hAnsi="仿宋" w:eastAsia="仿宋"/>
          <w:b/>
          <w:sz w:val="52"/>
          <w:szCs w:val="52"/>
        </w:rPr>
      </w:pPr>
      <w:r>
        <w:rPr>
          <w:rFonts w:hint="eastAsia" w:ascii="仿宋" w:hAnsi="仿宋" w:eastAsia="仿宋"/>
          <w:b/>
          <w:sz w:val="52"/>
          <w:szCs w:val="52"/>
          <w:lang w:val="en-US" w:eastAsia="zh-CN"/>
        </w:rPr>
        <w:t>蓝山县民兵训练基地管理中心</w:t>
      </w:r>
      <w:r>
        <w:rPr>
          <w:rFonts w:hint="eastAsia" w:ascii="仿宋" w:hAnsi="仿宋" w:eastAsia="仿宋"/>
          <w:b/>
          <w:sz w:val="52"/>
          <w:szCs w:val="52"/>
        </w:rPr>
        <w:t>202</w:t>
      </w:r>
      <w:r>
        <w:rPr>
          <w:rFonts w:hint="eastAsia" w:ascii="仿宋" w:hAnsi="仿宋" w:eastAsia="仿宋"/>
          <w:b/>
          <w:sz w:val="52"/>
          <w:szCs w:val="52"/>
          <w:lang w:val="en-US" w:eastAsia="zh-CN"/>
        </w:rPr>
        <w:t>5</w:t>
      </w:r>
      <w:r>
        <w:rPr>
          <w:rFonts w:hint="eastAsia" w:ascii="仿宋" w:hAnsi="仿宋" w:eastAsia="仿宋"/>
          <w:b/>
          <w:sz w:val="52"/>
          <w:szCs w:val="52"/>
        </w:rPr>
        <w:t>年整体支出绩效评价报告</w:t>
      </w:r>
    </w:p>
    <w:p w14:paraId="50BAFF54">
      <w:pPr>
        <w:keepNext w:val="0"/>
        <w:keepLines w:val="0"/>
        <w:pageBreakBefore w:val="0"/>
        <w:kinsoku/>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sz w:val="32"/>
          <w:szCs w:val="32"/>
        </w:rPr>
      </w:pPr>
    </w:p>
    <w:p w14:paraId="2628BB21">
      <w:pPr>
        <w:keepNext w:val="0"/>
        <w:keepLines w:val="0"/>
        <w:pageBreakBefore w:val="0"/>
        <w:kinsoku/>
        <w:overflowPunct/>
        <w:topLinePunct w:val="0"/>
        <w:autoSpaceDE/>
        <w:autoSpaceDN/>
        <w:bidi w:val="0"/>
        <w:adjustRightIn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为加强财政资金管理，切实提高资金使用效益，强化预算绩效理念，提高财政资金使用效益，根据</w:t>
      </w:r>
      <w:r>
        <w:rPr>
          <w:rFonts w:hint="eastAsia" w:ascii="仿宋" w:hAnsi="仿宋" w:eastAsia="仿宋" w:cs="仿宋"/>
          <w:sz w:val="32"/>
          <w:szCs w:val="32"/>
          <w:lang w:eastAsia="zh-CN"/>
        </w:rPr>
        <w:t>《中共中央国务院关于全面实施预算绩效管理的意见》（中发</w:t>
      </w:r>
      <w:r>
        <w:rPr>
          <w:rFonts w:hint="eastAsia" w:ascii="仿宋" w:hAnsi="仿宋" w:eastAsia="仿宋" w:cs="仿宋"/>
          <w:sz w:val="32"/>
          <w:szCs w:val="32"/>
          <w:lang w:val="en-US" w:eastAsia="zh-CN"/>
        </w:rPr>
        <w:t>[2018]34号</w:t>
      </w:r>
      <w:r>
        <w:rPr>
          <w:rFonts w:hint="eastAsia" w:ascii="仿宋" w:hAnsi="仿宋" w:eastAsia="仿宋" w:cs="仿宋"/>
          <w:sz w:val="32"/>
          <w:szCs w:val="32"/>
          <w:lang w:eastAsia="zh-CN"/>
        </w:rPr>
        <w:t>）和中共湖南省委办公厅</w:t>
      </w:r>
      <w:r>
        <w:rPr>
          <w:rFonts w:hint="eastAsia" w:ascii="仿宋" w:hAnsi="仿宋" w:eastAsia="仿宋" w:cs="仿宋"/>
          <w:sz w:val="32"/>
          <w:szCs w:val="32"/>
          <w:lang w:val="en-US" w:eastAsia="zh-CN"/>
        </w:rPr>
        <w:t xml:space="preserve"> 湖南省人民政府办公厅《关于全面实施预算绩效管理的实施意见》（湘办发[2019]10号）及《湖南省预算支出绩效评价管理办法》（湘财绩[2020]7号）</w:t>
      </w:r>
      <w:r>
        <w:rPr>
          <w:rFonts w:hint="eastAsia" w:ascii="仿宋" w:hAnsi="仿宋" w:eastAsia="仿宋" w:cs="仿宋"/>
          <w:sz w:val="32"/>
          <w:szCs w:val="32"/>
        </w:rPr>
        <w:t>要求，我</w:t>
      </w:r>
      <w:r>
        <w:rPr>
          <w:rFonts w:hint="eastAsia" w:ascii="仿宋" w:hAnsi="仿宋" w:eastAsia="仿宋" w:cs="仿宋"/>
          <w:sz w:val="32"/>
          <w:szCs w:val="32"/>
          <w:lang w:eastAsia="zh-CN"/>
        </w:rPr>
        <w:t>中心</w:t>
      </w:r>
      <w:r>
        <w:rPr>
          <w:rFonts w:hint="eastAsia" w:ascii="仿宋" w:hAnsi="仿宋" w:eastAsia="仿宋" w:cs="仿宋"/>
          <w:sz w:val="32"/>
          <w:szCs w:val="32"/>
        </w:rPr>
        <w:t>领导高度重视，认真组织,对202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年部门整体支出进行了绩效自评，现将我</w:t>
      </w:r>
      <w:r>
        <w:rPr>
          <w:rFonts w:hint="eastAsia" w:ascii="仿宋" w:hAnsi="仿宋" w:eastAsia="仿宋" w:cs="仿宋"/>
          <w:sz w:val="32"/>
          <w:szCs w:val="32"/>
          <w:lang w:eastAsia="zh-CN"/>
        </w:rPr>
        <w:t>中心</w:t>
      </w:r>
      <w:r>
        <w:rPr>
          <w:rFonts w:hint="eastAsia" w:ascii="仿宋" w:hAnsi="仿宋" w:eastAsia="仿宋" w:cs="仿宋"/>
          <w:sz w:val="32"/>
          <w:szCs w:val="32"/>
        </w:rPr>
        <w:t>部门整体支出绩效自评情况汇报如下：</w:t>
      </w:r>
    </w:p>
    <w:p w14:paraId="63BCA38F">
      <w:pPr>
        <w:keepNext w:val="0"/>
        <w:keepLines w:val="0"/>
        <w:pageBreakBefore w:val="0"/>
        <w:widowControl/>
        <w:numPr>
          <w:ilvl w:val="0"/>
          <w:numId w:val="3"/>
        </w:numPr>
        <w:kinsoku/>
        <w:wordWrap w:val="0"/>
        <w:overflowPunct/>
        <w:topLinePunct w:val="0"/>
        <w:autoSpaceDE/>
        <w:autoSpaceDN/>
        <w:bidi w:val="0"/>
        <w:adjustRightInd/>
        <w:spacing w:line="600" w:lineRule="exact"/>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部门概况</w:t>
      </w:r>
    </w:p>
    <w:p w14:paraId="526280F6">
      <w:pPr>
        <w:keepNext w:val="0"/>
        <w:keepLines w:val="0"/>
        <w:pageBreakBefore w:val="0"/>
        <w:widowControl/>
        <w:kinsoku/>
        <w:wordWrap w:val="0"/>
        <w:overflowPunct/>
        <w:topLinePunct w:val="0"/>
        <w:autoSpaceDE/>
        <w:autoSpaceDN/>
        <w:bidi w:val="0"/>
        <w:adjustRightInd/>
        <w:spacing w:line="600" w:lineRule="exact"/>
        <w:ind w:left="602"/>
        <w:textAlignment w:val="auto"/>
        <w:rPr>
          <w:rFonts w:hint="eastAsia" w:ascii="仿宋" w:hAnsi="仿宋" w:eastAsia="仿宋" w:cs="仿宋"/>
          <w:kern w:val="0"/>
          <w:sz w:val="32"/>
          <w:szCs w:val="32"/>
        </w:rPr>
      </w:pPr>
      <w:r>
        <w:rPr>
          <w:rFonts w:hint="eastAsia" w:ascii="仿宋" w:hAnsi="仿宋" w:eastAsia="仿宋" w:cs="仿宋"/>
          <w:kern w:val="0"/>
          <w:sz w:val="32"/>
          <w:szCs w:val="32"/>
        </w:rPr>
        <w:t>（一）部门基本情况</w:t>
      </w:r>
    </w:p>
    <w:p w14:paraId="29F3FCB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民兵训练基地管理中心主要承担辖区民兵军事训练、国防教育、兵员集训、战备演练保障及基地日常运维管理等职能职责。主要负责民兵年度集中训练、专项集训、应急战备演练的场地保障、食宿保障、器材保障及安全管理工作；负责基地营房、训练场地、训练器材、附属设施的日常管护、维修保养、安全巡查与规范化运营；统筹开展国防教育宣传、预备役人员训练保障、应急处突集训保障等相关工作。</w:t>
      </w:r>
    </w:p>
    <w:p w14:paraId="192C964F">
      <w:pPr>
        <w:rPr>
          <w:rFonts w:hint="eastAsia" w:ascii="仿宋" w:hAnsi="仿宋" w:eastAsia="仿宋" w:cs="仿宋"/>
          <w:sz w:val="32"/>
          <w:szCs w:val="32"/>
          <w:lang w:eastAsia="zh-CN"/>
        </w:rPr>
      </w:pPr>
      <w:r>
        <w:rPr>
          <w:rFonts w:hint="eastAsia" w:ascii="仿宋" w:hAnsi="仿宋" w:eastAsia="仿宋" w:cs="仿宋"/>
          <w:sz w:val="32"/>
          <w:szCs w:val="32"/>
          <w:lang w:eastAsia="zh-CN"/>
        </w:rPr>
        <w:t>　　中心严格遵照国防动员、民兵建设相关工作要求及年度财政预算，规范使用财政资金，常态化推进基地标准化建设、训练保障服务、设施设备运维、后勤综合保障、安全管理制度落实等各项工作，保障辖区民兵训练任务、战备工作有序高效开展，为基层国防后备力量建设、应急应战能力提升提供坚实支撑。</w:t>
      </w:r>
    </w:p>
    <w:p w14:paraId="5657E8AC">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本单位内部管理制度健全、岗位职责明确、工作运行规范，严格落实预算管理、资金使用、项目实施等各项财经制度，确保财政资金安全、规范、高效使用，顺利完成年度各项工作绩效目标。</w:t>
      </w:r>
    </w:p>
    <w:p w14:paraId="5DD4C778">
      <w:pPr>
        <w:keepNext w:val="0"/>
        <w:keepLines w:val="0"/>
        <w:pageBreakBefore w:val="0"/>
        <w:widowControl/>
        <w:shd w:val="clear" w:color="auto" w:fill="FFFFFF"/>
        <w:kinsoku/>
        <w:wordWrap w:val="0"/>
        <w:overflowPunct/>
        <w:topLinePunct w:val="0"/>
        <w:autoSpaceDE/>
        <w:autoSpaceDN/>
        <w:bidi w:val="0"/>
        <w:adjustRightInd/>
        <w:spacing w:line="600" w:lineRule="exact"/>
        <w:jc w:val="left"/>
        <w:textAlignment w:val="auto"/>
        <w:rPr>
          <w:rFonts w:hint="eastAsia" w:ascii="仿宋" w:hAnsi="仿宋" w:eastAsia="仿宋" w:cs="仿宋"/>
          <w:kern w:val="0"/>
          <w:sz w:val="32"/>
          <w:szCs w:val="32"/>
        </w:rPr>
      </w:pPr>
      <w:r>
        <w:rPr>
          <w:rFonts w:hint="eastAsia" w:ascii="仿宋" w:hAnsi="仿宋" w:eastAsia="仿宋" w:cs="仿宋"/>
          <w:kern w:val="0"/>
          <w:sz w:val="32"/>
          <w:szCs w:val="32"/>
          <w:lang w:eastAsia="zh-CN"/>
        </w:rPr>
        <w:t>　　</w:t>
      </w:r>
      <w:r>
        <w:rPr>
          <w:rFonts w:hint="eastAsia" w:ascii="仿宋" w:hAnsi="仿宋" w:eastAsia="仿宋" w:cs="仿宋"/>
          <w:kern w:val="0"/>
          <w:sz w:val="32"/>
          <w:szCs w:val="32"/>
        </w:rPr>
        <w:t>（二）人员情况</w:t>
      </w:r>
    </w:p>
    <w:p w14:paraId="798CF6BE">
      <w:pPr>
        <w:keepNext w:val="0"/>
        <w:keepLines w:val="0"/>
        <w:pageBreakBefore w:val="0"/>
        <w:widowControl/>
        <w:kinsoku/>
        <w:wordWrap w:val="0"/>
        <w:overflowPunct/>
        <w:topLinePunct w:val="0"/>
        <w:autoSpaceDE/>
        <w:autoSpaceDN/>
        <w:bidi w:val="0"/>
        <w:adjustRightInd/>
        <w:spacing w:line="600" w:lineRule="exact"/>
        <w:ind w:firstLine="640"/>
        <w:textAlignment w:val="auto"/>
        <w:rPr>
          <w:rFonts w:hint="eastAsia" w:ascii="仿宋" w:hAnsi="仿宋" w:eastAsia="仿宋" w:cs="仿宋"/>
          <w:kern w:val="0"/>
          <w:sz w:val="32"/>
          <w:szCs w:val="32"/>
        </w:rPr>
      </w:pPr>
      <w:r>
        <w:rPr>
          <w:rFonts w:hint="eastAsia" w:ascii="仿宋" w:hAnsi="仿宋" w:eastAsia="仿宋" w:cs="仿宋"/>
          <w:kern w:val="0"/>
          <w:sz w:val="32"/>
          <w:szCs w:val="32"/>
        </w:rPr>
        <w:t>设事业编制</w:t>
      </w:r>
      <w:r>
        <w:rPr>
          <w:rFonts w:hint="eastAsia" w:ascii="仿宋" w:hAnsi="仿宋" w:eastAsia="仿宋" w:cs="仿宋"/>
          <w:kern w:val="0"/>
          <w:sz w:val="32"/>
          <w:szCs w:val="32"/>
          <w:lang w:val="en-US" w:eastAsia="zh-CN"/>
        </w:rPr>
        <w:t>6</w:t>
      </w:r>
      <w:r>
        <w:rPr>
          <w:rFonts w:hint="eastAsia" w:ascii="仿宋" w:hAnsi="仿宋" w:eastAsia="仿宋" w:cs="仿宋"/>
          <w:kern w:val="0"/>
          <w:sz w:val="32"/>
          <w:szCs w:val="32"/>
        </w:rPr>
        <w:t>名。目前</w:t>
      </w:r>
      <w:r>
        <w:rPr>
          <w:rFonts w:hint="eastAsia" w:ascii="仿宋" w:hAnsi="仿宋" w:eastAsia="仿宋" w:cs="仿宋"/>
          <w:kern w:val="0"/>
          <w:sz w:val="32"/>
          <w:szCs w:val="32"/>
          <w:lang w:eastAsia="zh-CN"/>
        </w:rPr>
        <w:t>在职</w:t>
      </w:r>
      <w:r>
        <w:rPr>
          <w:rFonts w:hint="eastAsia" w:ascii="仿宋" w:hAnsi="仿宋" w:eastAsia="仿宋" w:cs="仿宋"/>
          <w:kern w:val="0"/>
          <w:sz w:val="32"/>
          <w:szCs w:val="32"/>
        </w:rPr>
        <w:t>事业编制</w:t>
      </w: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人。</w:t>
      </w:r>
    </w:p>
    <w:p w14:paraId="469CF842">
      <w:pPr>
        <w:keepNext w:val="0"/>
        <w:keepLines w:val="0"/>
        <w:pageBreakBefore w:val="0"/>
        <w:widowControl/>
        <w:kinsoku/>
        <w:wordWrap w:val="0"/>
        <w:overflowPunct/>
        <w:topLinePunct w:val="0"/>
        <w:autoSpaceDE/>
        <w:autoSpaceDN/>
        <w:bidi w:val="0"/>
        <w:adjustRightInd/>
        <w:spacing w:line="600" w:lineRule="exact"/>
        <w:ind w:firstLine="555"/>
        <w:jc w:val="left"/>
        <w:textAlignment w:val="auto"/>
        <w:rPr>
          <w:rFonts w:hint="eastAsia" w:ascii="仿宋" w:hAnsi="仿宋" w:eastAsia="仿宋" w:cs="仿宋"/>
          <w:kern w:val="0"/>
          <w:sz w:val="32"/>
          <w:szCs w:val="32"/>
        </w:rPr>
      </w:pPr>
      <w:r>
        <w:rPr>
          <w:rFonts w:hint="eastAsia" w:ascii="仿宋" w:hAnsi="仿宋" w:eastAsia="仿宋" w:cs="仿宋"/>
          <w:sz w:val="32"/>
          <w:szCs w:val="32"/>
        </w:rPr>
        <w:t>（三）</w:t>
      </w:r>
      <w:r>
        <w:rPr>
          <w:rFonts w:hint="eastAsia" w:ascii="仿宋" w:hAnsi="仿宋" w:eastAsia="仿宋" w:cs="仿宋"/>
          <w:kern w:val="0"/>
          <w:sz w:val="32"/>
          <w:szCs w:val="32"/>
        </w:rPr>
        <w:t>主要职能是：</w:t>
      </w:r>
    </w:p>
    <w:p w14:paraId="4ADD0F76">
      <w:pPr>
        <w:ind w:firstLine="640" w:firstLineChars="200"/>
        <w:rPr>
          <w:rFonts w:hint="eastAsia" w:ascii="仿宋" w:hAnsi="仿宋" w:eastAsia="仿宋" w:cs="仿宋"/>
          <w:sz w:val="32"/>
          <w:szCs w:val="32"/>
        </w:rPr>
      </w:pPr>
      <w:r>
        <w:rPr>
          <w:rFonts w:hint="eastAsia" w:ascii="仿宋" w:hAnsi="仿宋" w:eastAsia="仿宋" w:cs="仿宋"/>
          <w:sz w:val="32"/>
          <w:szCs w:val="32"/>
        </w:rPr>
        <w:t>民兵训练基地管理中心主要承担辖区民兵军事训练组织与实施、训练场地及设施设备管理、国防教育活动开展、应急救援演练保障等职能，致力于提升民兵军事素质与应急处突能力，服务国防动员与地方安全稳定工作。</w:t>
      </w:r>
    </w:p>
    <w:p w14:paraId="3E85F2FD">
      <w:pPr>
        <w:keepNext w:val="0"/>
        <w:keepLines w:val="0"/>
        <w:pageBreakBefore w:val="0"/>
        <w:widowControl/>
        <w:kinsoku/>
        <w:wordWrap w:val="0"/>
        <w:overflowPunct/>
        <w:topLinePunct w:val="0"/>
        <w:autoSpaceDE/>
        <w:autoSpaceDN/>
        <w:bidi w:val="0"/>
        <w:adjustRightInd/>
        <w:spacing w:line="600" w:lineRule="exact"/>
        <w:ind w:firstLine="640"/>
        <w:textAlignment w:val="auto"/>
        <w:rPr>
          <w:rFonts w:hint="eastAsia" w:ascii="仿宋" w:hAnsi="仿宋" w:eastAsia="仿宋" w:cs="仿宋"/>
          <w:kern w:val="0"/>
          <w:sz w:val="32"/>
          <w:szCs w:val="32"/>
        </w:rPr>
      </w:pPr>
      <w:r>
        <w:rPr>
          <w:rFonts w:hint="eastAsia" w:ascii="仿宋" w:hAnsi="仿宋" w:eastAsia="仿宋" w:cs="仿宋"/>
          <w:kern w:val="0"/>
          <w:sz w:val="32"/>
          <w:szCs w:val="32"/>
        </w:rPr>
        <w:t>（四）部门整体收支规模、使用方向：</w:t>
      </w:r>
    </w:p>
    <w:p w14:paraId="53626154">
      <w:pPr>
        <w:keepNext w:val="0"/>
        <w:keepLines w:val="0"/>
        <w:pageBreakBefore w:val="0"/>
        <w:kinsoku/>
        <w:wordWrap w:val="0"/>
        <w:overflowPunct/>
        <w:topLinePunct w:val="0"/>
        <w:autoSpaceDE/>
        <w:autoSpaceDN/>
        <w:bidi w:val="0"/>
        <w:adjustRightInd/>
        <w:snapToGrid w:val="0"/>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年总收入</w:t>
      </w:r>
      <w:r>
        <w:rPr>
          <w:rFonts w:hint="eastAsia" w:ascii="仿宋" w:hAnsi="仿宋" w:eastAsia="仿宋" w:cs="仿宋"/>
          <w:sz w:val="32"/>
          <w:szCs w:val="32"/>
          <w:lang w:val="en-US" w:eastAsia="zh-CN"/>
        </w:rPr>
        <w:t>94.32</w:t>
      </w:r>
      <w:r>
        <w:rPr>
          <w:rFonts w:hint="eastAsia" w:ascii="仿宋" w:hAnsi="仿宋" w:eastAsia="仿宋" w:cs="仿宋"/>
          <w:sz w:val="32"/>
          <w:szCs w:val="32"/>
        </w:rPr>
        <w:t>万元，其中基本支出收入</w:t>
      </w:r>
      <w:r>
        <w:rPr>
          <w:rFonts w:hint="eastAsia" w:ascii="仿宋" w:hAnsi="仿宋" w:eastAsia="仿宋" w:cs="仿宋"/>
          <w:sz w:val="32"/>
          <w:szCs w:val="32"/>
          <w:lang w:val="en-US" w:eastAsia="zh-CN"/>
        </w:rPr>
        <w:t>94.32</w:t>
      </w:r>
      <w:r>
        <w:rPr>
          <w:rFonts w:hint="eastAsia" w:ascii="仿宋" w:hAnsi="仿宋" w:eastAsia="仿宋" w:cs="仿宋"/>
          <w:sz w:val="32"/>
          <w:szCs w:val="32"/>
        </w:rPr>
        <w:t>万元，项目支出收入</w:t>
      </w:r>
      <w:r>
        <w:rPr>
          <w:rFonts w:hint="eastAsia" w:ascii="仿宋" w:hAnsi="仿宋" w:eastAsia="仿宋" w:cs="仿宋"/>
          <w:sz w:val="32"/>
          <w:szCs w:val="32"/>
          <w:lang w:val="en-US" w:eastAsia="zh-CN"/>
        </w:rPr>
        <w:t>0</w:t>
      </w:r>
      <w:r>
        <w:rPr>
          <w:rFonts w:hint="eastAsia" w:ascii="仿宋" w:hAnsi="仿宋" w:eastAsia="仿宋" w:cs="仿宋"/>
          <w:sz w:val="32"/>
          <w:szCs w:val="32"/>
        </w:rPr>
        <w:t>万元；202</w:t>
      </w:r>
      <w:r>
        <w:rPr>
          <w:rFonts w:hint="eastAsia" w:ascii="仿宋" w:hAnsi="仿宋" w:eastAsia="仿宋" w:cs="仿宋"/>
          <w:sz w:val="32"/>
          <w:szCs w:val="32"/>
          <w:lang w:val="en-US" w:eastAsia="zh-CN"/>
        </w:rPr>
        <w:t>5</w:t>
      </w:r>
      <w:r>
        <w:rPr>
          <w:rFonts w:hint="eastAsia" w:ascii="仿宋" w:hAnsi="仿宋" w:eastAsia="仿宋" w:cs="仿宋"/>
          <w:sz w:val="32"/>
          <w:szCs w:val="32"/>
        </w:rPr>
        <w:t>年总支出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万元，按支出性质分基本支出</w:t>
      </w:r>
      <w:r>
        <w:rPr>
          <w:rFonts w:hint="eastAsia" w:ascii="仿宋" w:hAnsi="仿宋" w:eastAsia="仿宋" w:cs="仿宋"/>
          <w:sz w:val="32"/>
          <w:szCs w:val="32"/>
          <w:lang w:val="en-US" w:eastAsia="zh-CN"/>
        </w:rPr>
        <w:t>94.32</w:t>
      </w:r>
      <w:r>
        <w:rPr>
          <w:rFonts w:hint="eastAsia" w:ascii="仿宋" w:hAnsi="仿宋" w:eastAsia="仿宋" w:cs="仿宋"/>
          <w:sz w:val="32"/>
          <w:szCs w:val="32"/>
        </w:rPr>
        <w:t>万元，其中人员经费</w:t>
      </w:r>
      <w:r>
        <w:rPr>
          <w:rFonts w:hint="eastAsia" w:ascii="仿宋" w:hAnsi="仿宋" w:eastAsia="仿宋" w:cs="仿宋"/>
          <w:sz w:val="32"/>
          <w:szCs w:val="32"/>
          <w:lang w:val="en-US" w:eastAsia="zh-CN"/>
        </w:rPr>
        <w:t>58.88</w:t>
      </w:r>
      <w:r>
        <w:rPr>
          <w:rFonts w:hint="eastAsia" w:ascii="仿宋" w:hAnsi="仿宋" w:eastAsia="仿宋" w:cs="仿宋"/>
          <w:sz w:val="32"/>
          <w:szCs w:val="32"/>
        </w:rPr>
        <w:t>万元，日常公用经费</w:t>
      </w:r>
      <w:r>
        <w:rPr>
          <w:rFonts w:hint="eastAsia" w:ascii="仿宋" w:hAnsi="仿宋" w:eastAsia="仿宋" w:cs="仿宋"/>
          <w:sz w:val="32"/>
          <w:szCs w:val="32"/>
          <w:lang w:val="en-US" w:eastAsia="zh-CN"/>
        </w:rPr>
        <w:t>35.44</w:t>
      </w:r>
      <w:r>
        <w:rPr>
          <w:rFonts w:hint="eastAsia" w:ascii="仿宋" w:hAnsi="仿宋" w:eastAsia="仿宋" w:cs="仿宋"/>
          <w:sz w:val="32"/>
          <w:szCs w:val="32"/>
        </w:rPr>
        <w:t>万元；项目支出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14:paraId="73CCF28E">
      <w:pPr>
        <w:keepNext w:val="0"/>
        <w:keepLines w:val="0"/>
        <w:pageBreakBefore w:val="0"/>
        <w:widowControl/>
        <w:shd w:val="clear" w:color="auto" w:fill="FFFFFF"/>
        <w:kinsoku/>
        <w:wordWrap w:val="0"/>
        <w:overflowPunct/>
        <w:topLinePunct w:val="0"/>
        <w:autoSpaceDE/>
        <w:autoSpaceDN/>
        <w:bidi w:val="0"/>
        <w:adjustRightInd/>
        <w:spacing w:line="600" w:lineRule="exact"/>
        <w:ind w:firstLine="480"/>
        <w:textAlignment w:val="auto"/>
        <w:rPr>
          <w:rFonts w:hint="eastAsia" w:ascii="仿宋" w:hAnsi="仿宋" w:eastAsia="仿宋" w:cs="仿宋"/>
          <w:b/>
          <w:kern w:val="0"/>
          <w:sz w:val="32"/>
          <w:szCs w:val="32"/>
        </w:rPr>
      </w:pPr>
      <w:r>
        <w:rPr>
          <w:rFonts w:hint="eastAsia" w:ascii="仿宋" w:hAnsi="仿宋" w:eastAsia="仿宋" w:cs="仿宋"/>
          <w:b/>
          <w:kern w:val="0"/>
          <w:sz w:val="32"/>
          <w:szCs w:val="32"/>
        </w:rPr>
        <w:t>二、部门整体支出管理及使用情况</w:t>
      </w:r>
    </w:p>
    <w:p w14:paraId="1AFF7AE9">
      <w:pPr>
        <w:keepNext w:val="0"/>
        <w:keepLines w:val="0"/>
        <w:pageBreakBefore w:val="0"/>
        <w:widowControl/>
        <w:shd w:val="clear" w:color="auto" w:fill="FFFFFF"/>
        <w:kinsoku/>
        <w:wordWrap w:val="0"/>
        <w:overflowPunct/>
        <w:topLinePunct w:val="0"/>
        <w:autoSpaceDE/>
        <w:autoSpaceDN/>
        <w:bidi w:val="0"/>
        <w:adjustRightInd/>
        <w:spacing w:line="600" w:lineRule="exact"/>
        <w:ind w:firstLine="320" w:firstLineChars="100"/>
        <w:textAlignment w:val="auto"/>
        <w:rPr>
          <w:rFonts w:hint="eastAsia" w:ascii="仿宋" w:hAnsi="仿宋" w:eastAsia="仿宋" w:cs="仿宋"/>
          <w:kern w:val="0"/>
          <w:sz w:val="32"/>
          <w:szCs w:val="32"/>
        </w:rPr>
      </w:pPr>
      <w:r>
        <w:rPr>
          <w:rFonts w:hint="eastAsia" w:ascii="仿宋" w:hAnsi="仿宋" w:eastAsia="仿宋" w:cs="仿宋"/>
          <w:kern w:val="0"/>
          <w:sz w:val="32"/>
          <w:szCs w:val="32"/>
        </w:rPr>
        <w:t>（一）基本支出</w:t>
      </w:r>
    </w:p>
    <w:p w14:paraId="2520FA42">
      <w:pPr>
        <w:keepNext w:val="0"/>
        <w:keepLines w:val="0"/>
        <w:pageBreakBefore w:val="0"/>
        <w:widowControl/>
        <w:shd w:val="clear" w:color="auto" w:fill="FFFFFF"/>
        <w:kinsoku/>
        <w:wordWrap w:val="0"/>
        <w:overflowPunct/>
        <w:topLinePunct w:val="0"/>
        <w:autoSpaceDE/>
        <w:autoSpaceDN/>
        <w:bidi w:val="0"/>
        <w:adjustRightInd/>
        <w:spacing w:line="600" w:lineRule="exact"/>
        <w:ind w:firstLine="480"/>
        <w:textAlignment w:val="auto"/>
        <w:rPr>
          <w:rFonts w:hint="eastAsia" w:ascii="仿宋_GB2312" w:hAnsi="仿宋_GB2312" w:eastAsia="仿宋_GB2312" w:cs="仿宋_GB2312"/>
          <w:kern w:val="0"/>
          <w:sz w:val="32"/>
          <w:szCs w:val="32"/>
          <w:lang w:eastAsia="zh-CN"/>
        </w:rPr>
      </w:pPr>
      <w:r>
        <w:rPr>
          <w:rFonts w:hint="eastAsia" w:ascii="仿宋_GB2312" w:hAnsi="仿宋_GB2312" w:eastAsia="仿宋_GB2312" w:cs="仿宋_GB2312"/>
          <w:kern w:val="0"/>
          <w:sz w:val="32"/>
          <w:szCs w:val="32"/>
        </w:rPr>
        <w:t>202</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rPr>
        <w:t>年基本支出为</w:t>
      </w:r>
      <w:r>
        <w:rPr>
          <w:rFonts w:hint="eastAsia" w:ascii="仿宋_GB2312" w:hAnsi="仿宋_GB2312" w:eastAsia="仿宋_GB2312" w:cs="仿宋_GB2312"/>
          <w:kern w:val="0"/>
          <w:sz w:val="32"/>
          <w:szCs w:val="32"/>
          <w:lang w:val="en-US" w:eastAsia="zh-CN"/>
        </w:rPr>
        <w:t>94.32</w:t>
      </w:r>
      <w:r>
        <w:rPr>
          <w:rFonts w:hint="eastAsia" w:ascii="仿宋_GB2312" w:hAnsi="仿宋_GB2312" w:eastAsia="仿宋_GB2312" w:cs="仿宋_GB2312"/>
          <w:kern w:val="0"/>
          <w:sz w:val="32"/>
          <w:szCs w:val="32"/>
        </w:rPr>
        <w:t>万元。其中</w:t>
      </w:r>
      <w:r>
        <w:rPr>
          <w:rFonts w:hint="eastAsia" w:ascii="仿宋_GB2312" w:hAnsi="仿宋_GB2312" w:eastAsia="仿宋_GB2312" w:cs="仿宋_GB2312"/>
          <w:kern w:val="0"/>
          <w:sz w:val="32"/>
          <w:szCs w:val="32"/>
          <w:lang w:val="en-US" w:eastAsia="zh-CN"/>
        </w:rPr>
        <w:t>人员经费58.88万元，公用经费35.44万元</w:t>
      </w:r>
      <w:r>
        <w:rPr>
          <w:rFonts w:hint="eastAsia" w:ascii="仿宋_GB2312" w:hAnsi="仿宋_GB2312" w:eastAsia="仿宋_GB2312" w:cs="仿宋_GB2312"/>
          <w:kern w:val="0"/>
          <w:sz w:val="32"/>
          <w:szCs w:val="32"/>
          <w:lang w:eastAsia="zh-CN"/>
        </w:rPr>
        <w:t>。</w:t>
      </w:r>
    </w:p>
    <w:p w14:paraId="05C9AB4B">
      <w:pPr>
        <w:keepNext w:val="0"/>
        <w:keepLines w:val="0"/>
        <w:pageBreakBefore w:val="0"/>
        <w:widowControl/>
        <w:shd w:val="clear" w:color="auto" w:fill="FFFFFF"/>
        <w:kinsoku/>
        <w:wordWrap w:val="0"/>
        <w:overflowPunct/>
        <w:topLinePunct w:val="0"/>
        <w:autoSpaceDE/>
        <w:autoSpaceDN/>
        <w:bidi w:val="0"/>
        <w:adjustRightInd/>
        <w:spacing w:line="600" w:lineRule="exact"/>
        <w:ind w:firstLine="480"/>
        <w:textAlignment w:val="auto"/>
        <w:rPr>
          <w:rFonts w:hint="eastAsia" w:ascii="仿宋" w:hAnsi="仿宋" w:eastAsia="仿宋" w:cs="仿宋"/>
          <w:kern w:val="0"/>
          <w:sz w:val="32"/>
          <w:szCs w:val="32"/>
        </w:rPr>
      </w:pPr>
      <w:r>
        <w:rPr>
          <w:rFonts w:hint="eastAsia" w:ascii="仿宋" w:hAnsi="仿宋" w:eastAsia="仿宋" w:cs="仿宋"/>
          <w:kern w:val="0"/>
          <w:sz w:val="32"/>
          <w:szCs w:val="32"/>
        </w:rPr>
        <w:t>（二）“三公经费”支出</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shd w:val="clear" w:color="auto" w:fill="FFFFFF"/>
        </w:rPr>
        <w:t>万元，其中：因公出国（境）费支出决算为0万元（因公出国组团0次，因公出国0人次）；公务用车购置及运行维护费支出0万元；公务接待费支出为</w:t>
      </w:r>
      <w:r>
        <w:rPr>
          <w:rFonts w:hint="eastAsia" w:ascii="仿宋" w:hAnsi="仿宋" w:eastAsia="仿宋" w:cs="仿宋"/>
          <w:kern w:val="0"/>
          <w:sz w:val="32"/>
          <w:szCs w:val="32"/>
          <w:shd w:val="clear" w:color="auto" w:fill="FFFFFF"/>
          <w:lang w:val="en-US" w:eastAsia="zh-CN"/>
        </w:rPr>
        <w:t>0</w:t>
      </w:r>
      <w:r>
        <w:rPr>
          <w:rFonts w:hint="eastAsia" w:ascii="仿宋" w:hAnsi="仿宋" w:eastAsia="仿宋" w:cs="仿宋"/>
          <w:kern w:val="0"/>
          <w:sz w:val="32"/>
          <w:szCs w:val="32"/>
          <w:shd w:val="clear" w:color="auto" w:fill="FFFFFF"/>
        </w:rPr>
        <w:t>万元。</w:t>
      </w:r>
    </w:p>
    <w:p w14:paraId="39E1FC7F">
      <w:pPr>
        <w:keepNext w:val="0"/>
        <w:keepLines w:val="0"/>
        <w:pageBreakBefore w:val="0"/>
        <w:widowControl/>
        <w:shd w:val="clear" w:color="auto" w:fill="FFFFFF"/>
        <w:kinsoku/>
        <w:wordWrap w:val="0"/>
        <w:overflowPunct/>
        <w:topLinePunct w:val="0"/>
        <w:autoSpaceDE/>
        <w:autoSpaceDN/>
        <w:bidi w:val="0"/>
        <w:adjustRightInd/>
        <w:spacing w:line="600" w:lineRule="exact"/>
        <w:ind w:firstLine="550"/>
        <w:jc w:val="left"/>
        <w:textAlignment w:val="auto"/>
        <w:rPr>
          <w:rFonts w:hint="eastAsia" w:ascii="仿宋" w:hAnsi="仿宋" w:eastAsia="仿宋" w:cs="仿宋"/>
          <w:kern w:val="0"/>
          <w:sz w:val="32"/>
          <w:szCs w:val="32"/>
        </w:rPr>
      </w:pPr>
      <w:r>
        <w:rPr>
          <w:rFonts w:hint="eastAsia" w:ascii="仿宋" w:hAnsi="仿宋" w:eastAsia="仿宋" w:cs="仿宋"/>
          <w:bCs/>
          <w:kern w:val="0"/>
          <w:sz w:val="32"/>
          <w:szCs w:val="32"/>
        </w:rPr>
        <w:t>（三）项目支出</w:t>
      </w:r>
    </w:p>
    <w:p w14:paraId="6448C004">
      <w:pPr>
        <w:keepNext w:val="0"/>
        <w:keepLines w:val="0"/>
        <w:pageBreakBefore w:val="0"/>
        <w:widowControl/>
        <w:shd w:val="clear" w:color="auto" w:fill="FFFFFF"/>
        <w:kinsoku/>
        <w:wordWrap w:val="0"/>
        <w:overflowPunct/>
        <w:topLinePunct w:val="0"/>
        <w:autoSpaceDE/>
        <w:autoSpaceDN/>
        <w:bidi w:val="0"/>
        <w:adjustRightInd/>
        <w:spacing w:line="600" w:lineRule="exact"/>
        <w:ind w:firstLine="480"/>
        <w:textAlignment w:val="auto"/>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本年度，民兵训练基地管理中心无项目支出，单位全年财政资金支出全部为部门整体基本支出。</w:t>
      </w:r>
    </w:p>
    <w:p w14:paraId="47999D53">
      <w:pPr>
        <w:keepNext w:val="0"/>
        <w:keepLines w:val="0"/>
        <w:pageBreakBefore w:val="0"/>
        <w:widowControl/>
        <w:shd w:val="clear" w:color="auto" w:fill="FFFFFF"/>
        <w:kinsoku/>
        <w:wordWrap w:val="0"/>
        <w:overflowPunct/>
        <w:topLinePunct w:val="0"/>
        <w:autoSpaceDE/>
        <w:autoSpaceDN/>
        <w:bidi w:val="0"/>
        <w:adjustRightInd/>
        <w:spacing w:line="600" w:lineRule="exact"/>
        <w:ind w:firstLine="420"/>
        <w:jc w:val="left"/>
        <w:textAlignment w:val="auto"/>
        <w:rPr>
          <w:rFonts w:hint="eastAsia" w:ascii="仿宋" w:hAnsi="仿宋" w:eastAsia="仿宋" w:cs="仿宋"/>
          <w:kern w:val="0"/>
          <w:sz w:val="32"/>
          <w:szCs w:val="32"/>
        </w:rPr>
      </w:pPr>
      <w:r>
        <w:rPr>
          <w:rFonts w:hint="eastAsia" w:ascii="仿宋" w:hAnsi="仿宋" w:eastAsia="仿宋" w:cs="仿宋"/>
          <w:b/>
          <w:bCs/>
          <w:kern w:val="0"/>
          <w:sz w:val="32"/>
          <w:szCs w:val="32"/>
        </w:rPr>
        <w:t>三、</w:t>
      </w:r>
      <w:r>
        <w:rPr>
          <w:rFonts w:hint="eastAsia" w:ascii="仿宋" w:hAnsi="仿宋" w:eastAsia="仿宋" w:cs="仿宋"/>
          <w:b/>
          <w:bCs/>
          <w:kern w:val="0"/>
          <w:sz w:val="32"/>
          <w:szCs w:val="32"/>
          <w:shd w:val="clear" w:color="auto" w:fill="FFFFFF"/>
        </w:rPr>
        <w:t>绩效评价工作组织实施情况</w:t>
      </w:r>
    </w:p>
    <w:p w14:paraId="45CF7E66">
      <w:pPr>
        <w:keepNext w:val="0"/>
        <w:keepLines w:val="0"/>
        <w:pageBreakBefore w:val="0"/>
        <w:widowControl/>
        <w:shd w:val="clear" w:color="auto" w:fill="FFFFFF"/>
        <w:kinsoku/>
        <w:wordWrap w:val="0"/>
        <w:overflowPunct/>
        <w:topLinePunct w:val="0"/>
        <w:autoSpaceDE/>
        <w:autoSpaceDN/>
        <w:bidi w:val="0"/>
        <w:adjustRightInd/>
        <w:spacing w:line="600" w:lineRule="exact"/>
        <w:ind w:firstLine="548"/>
        <w:textAlignment w:val="auto"/>
        <w:rPr>
          <w:rFonts w:hint="eastAsia" w:ascii="仿宋" w:hAnsi="仿宋" w:eastAsia="仿宋" w:cs="仿宋"/>
          <w:kern w:val="0"/>
          <w:sz w:val="32"/>
          <w:szCs w:val="32"/>
        </w:rPr>
      </w:pPr>
      <w:r>
        <w:rPr>
          <w:rFonts w:hint="eastAsia" w:ascii="仿宋" w:hAnsi="仿宋" w:eastAsia="仿宋" w:cs="仿宋"/>
          <w:kern w:val="0"/>
          <w:sz w:val="32"/>
          <w:szCs w:val="32"/>
        </w:rPr>
        <w:t>根据财政部《财政支出绩效评价管理暂行办法》（财预〔2011〕285号）和《蓝山县人民政府关于全面推进预算绩效管理的意见》（蓝政发[2013]6号）文件精神，</w:t>
      </w:r>
      <w:r>
        <w:rPr>
          <w:rFonts w:hint="eastAsia" w:ascii="仿宋" w:hAnsi="仿宋" w:eastAsia="仿宋" w:cs="仿宋"/>
          <w:kern w:val="0"/>
          <w:sz w:val="32"/>
          <w:szCs w:val="32"/>
          <w:shd w:val="clear" w:color="auto" w:fill="FFFFFF"/>
        </w:rPr>
        <w:t>我</w:t>
      </w:r>
      <w:r>
        <w:rPr>
          <w:rFonts w:hint="eastAsia" w:ascii="仿宋" w:hAnsi="仿宋" w:eastAsia="仿宋" w:cs="仿宋"/>
          <w:kern w:val="0"/>
          <w:sz w:val="32"/>
          <w:szCs w:val="32"/>
          <w:shd w:val="clear" w:color="auto" w:fill="FFFFFF"/>
          <w:lang w:eastAsia="zh-CN"/>
        </w:rPr>
        <w:t>中心</w:t>
      </w:r>
      <w:r>
        <w:rPr>
          <w:rFonts w:hint="eastAsia" w:ascii="仿宋" w:hAnsi="仿宋" w:eastAsia="仿宋" w:cs="仿宋"/>
          <w:kern w:val="0"/>
          <w:sz w:val="32"/>
          <w:szCs w:val="32"/>
          <w:shd w:val="clear" w:color="auto" w:fill="FFFFFF"/>
        </w:rPr>
        <w:t>召开了专题会议，制定了工作计划，检查基本支出有关账目，收集整理支出相关资料进行分析，形成评价结论。</w:t>
      </w:r>
    </w:p>
    <w:p w14:paraId="17C0A90F">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b/>
          <w:kern w:val="0"/>
          <w:sz w:val="32"/>
          <w:szCs w:val="32"/>
          <w:lang w:val="en"/>
        </w:rPr>
      </w:pPr>
      <w:r>
        <w:rPr>
          <w:rFonts w:hint="eastAsia" w:ascii="仿宋" w:hAnsi="仿宋" w:eastAsia="仿宋" w:cs="仿宋"/>
          <w:b/>
          <w:kern w:val="0"/>
          <w:sz w:val="32"/>
          <w:szCs w:val="32"/>
          <w:shd w:val="clear" w:color="auto" w:fill="FFFFFF"/>
          <w:lang w:val="en"/>
        </w:rPr>
        <w:t>四、整体支出绩效情况</w:t>
      </w:r>
    </w:p>
    <w:p w14:paraId="13E6C453">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kern w:val="0"/>
          <w:sz w:val="32"/>
          <w:szCs w:val="32"/>
          <w:lang w:val="en"/>
        </w:rPr>
      </w:pPr>
      <w:r>
        <w:rPr>
          <w:rFonts w:hint="eastAsia" w:ascii="仿宋" w:hAnsi="仿宋" w:eastAsia="仿宋" w:cs="仿宋"/>
          <w:kern w:val="0"/>
          <w:sz w:val="32"/>
          <w:szCs w:val="32"/>
          <w:shd w:val="clear" w:color="auto" w:fill="FFFFFF"/>
          <w:lang w:val="en"/>
        </w:rPr>
        <w:t>（一）经济性分析。</w:t>
      </w:r>
    </w:p>
    <w:p w14:paraId="08CB3DFB">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kern w:val="0"/>
          <w:sz w:val="32"/>
          <w:szCs w:val="32"/>
          <w:shd w:val="clear" w:color="auto" w:fill="FFFFFF"/>
          <w:lang w:val="en" w:eastAsia="zh-CN"/>
        </w:rPr>
      </w:pPr>
      <w:r>
        <w:rPr>
          <w:rFonts w:hint="eastAsia" w:ascii="仿宋" w:hAnsi="仿宋" w:eastAsia="仿宋" w:cs="仿宋"/>
          <w:kern w:val="0"/>
          <w:sz w:val="32"/>
          <w:szCs w:val="32"/>
          <w:shd w:val="clear" w:color="auto" w:fill="FFFFFF"/>
          <w:lang w:val="en"/>
        </w:rPr>
        <w:t>1. 资金使用方面。</w:t>
      </w:r>
      <w:r>
        <w:rPr>
          <w:rFonts w:hint="eastAsia" w:ascii="仿宋" w:hAnsi="仿宋" w:eastAsia="仿宋" w:cs="仿宋"/>
          <w:kern w:val="0"/>
          <w:sz w:val="32"/>
          <w:szCs w:val="32"/>
          <w:shd w:val="clear" w:color="auto" w:fill="FFFFFF"/>
          <w:lang w:val="en" w:eastAsia="zh-CN"/>
        </w:rPr>
        <w:t>本年度单位仅有基本支出，无项目支出。资金严格按照预算规定用途使用，落实厉行节约要求，从严管控一般性支出。经费审批规范，支出真实合规，资金投入保障基地正常运转与民兵训练保障工作，资金使用经济合理。</w:t>
      </w:r>
    </w:p>
    <w:p w14:paraId="0222A4FB">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kern w:val="0"/>
          <w:sz w:val="32"/>
          <w:szCs w:val="32"/>
          <w:lang w:val="en"/>
        </w:rPr>
      </w:pPr>
      <w:r>
        <w:rPr>
          <w:rFonts w:hint="eastAsia" w:ascii="仿宋" w:hAnsi="仿宋" w:eastAsia="仿宋" w:cs="仿宋"/>
          <w:kern w:val="0"/>
          <w:sz w:val="32"/>
          <w:szCs w:val="32"/>
          <w:shd w:val="clear" w:color="auto" w:fill="FFFFFF"/>
          <w:lang w:val="en"/>
        </w:rPr>
        <w:t>2.资产管理方面，建立了资产管理制度，定期进行了盘点和资产清理，总体执行较好。</w:t>
      </w:r>
    </w:p>
    <w:p w14:paraId="4FDB3CF3">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kern w:val="0"/>
          <w:sz w:val="32"/>
          <w:szCs w:val="32"/>
          <w:lang w:val="en"/>
        </w:rPr>
      </w:pPr>
      <w:r>
        <w:rPr>
          <w:rFonts w:hint="eastAsia" w:ascii="仿宋" w:hAnsi="仿宋" w:eastAsia="仿宋" w:cs="仿宋"/>
          <w:kern w:val="0"/>
          <w:sz w:val="32"/>
          <w:szCs w:val="32"/>
          <w:shd w:val="clear" w:color="auto" w:fill="FFFFFF"/>
          <w:lang w:val="en"/>
        </w:rPr>
        <w:t>（二）效率性和有效性分析。</w:t>
      </w:r>
    </w:p>
    <w:p w14:paraId="64A2BF14">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kern w:val="0"/>
          <w:sz w:val="32"/>
          <w:szCs w:val="32"/>
          <w:shd w:val="clear" w:color="auto" w:fill="FFFFFF"/>
          <w:lang w:val="en"/>
        </w:rPr>
      </w:pPr>
      <w:r>
        <w:rPr>
          <w:rFonts w:hint="eastAsia" w:ascii="仿宋" w:hAnsi="仿宋" w:eastAsia="仿宋" w:cs="仿宋"/>
          <w:kern w:val="0"/>
          <w:sz w:val="32"/>
          <w:szCs w:val="32"/>
          <w:shd w:val="clear" w:color="auto" w:fill="FFFFFF"/>
          <w:lang w:val="en"/>
        </w:rPr>
        <w:t>本年度，我中心无专项项目支出，财政资金全部为基本支出，主要用于单位日常运转、基地营房场地运维、训练器材管护、安全管理、民兵集训保障及国防教育服务等履职工作。资金使用严格遵循预算管理及厉行节约相关规定，支出审批流程规范、资金拨付及时合规，严控一般性开支，资金利用充分，无闲置、浪费、低效使用等问题，资金运行整体效率较高。依托现有经费和现有设施资源，中心高效完成年度基地管理、安全值守、民兵训练保障、战备服务、日常办公运转等各项既定工作任务，履职保障质量稳定到位，有效支撑了辖区民兵后备力量建设和基地常态化规范化运行，整体支出使用高效、履职成效显著，资金投入产出匹配度良好。</w:t>
      </w:r>
    </w:p>
    <w:p w14:paraId="19D21E56">
      <w:pPr>
        <w:keepNext w:val="0"/>
        <w:keepLines w:val="0"/>
        <w:pageBreakBefore w:val="0"/>
        <w:widowControl/>
        <w:shd w:val="clear" w:color="auto" w:fill="FFFFFF"/>
        <w:kinsoku/>
        <w:wordWrap w:val="0"/>
        <w:overflowPunct/>
        <w:topLinePunct w:val="0"/>
        <w:autoSpaceDE/>
        <w:autoSpaceDN/>
        <w:bidi w:val="0"/>
        <w:adjustRightInd/>
        <w:spacing w:line="600" w:lineRule="exact"/>
        <w:jc w:val="left"/>
        <w:textAlignment w:val="auto"/>
        <w:rPr>
          <w:rFonts w:hint="eastAsia" w:ascii="仿宋" w:hAnsi="仿宋" w:eastAsia="仿宋" w:cs="仿宋"/>
          <w:kern w:val="0"/>
          <w:sz w:val="32"/>
          <w:szCs w:val="32"/>
          <w:lang w:val="en"/>
        </w:rPr>
      </w:pPr>
      <w:r>
        <w:rPr>
          <w:rFonts w:hint="eastAsia" w:ascii="仿宋" w:hAnsi="仿宋" w:eastAsia="仿宋" w:cs="仿宋"/>
          <w:kern w:val="0"/>
          <w:sz w:val="32"/>
          <w:szCs w:val="32"/>
          <w:shd w:val="clear" w:color="auto" w:fill="FFFFFF"/>
          <w:lang w:val="en" w:eastAsia="zh-CN"/>
        </w:rPr>
        <w:t>　　</w:t>
      </w:r>
      <w:r>
        <w:rPr>
          <w:rFonts w:hint="eastAsia" w:ascii="仿宋" w:hAnsi="仿宋" w:eastAsia="仿宋" w:cs="仿宋"/>
          <w:kern w:val="0"/>
          <w:sz w:val="32"/>
          <w:szCs w:val="32"/>
          <w:shd w:val="clear" w:color="auto" w:fill="FFFFFF"/>
          <w:lang w:val="en"/>
        </w:rPr>
        <w:t>（三）可持续性分析</w:t>
      </w:r>
    </w:p>
    <w:p w14:paraId="6D835E0C">
      <w:pPr>
        <w:keepNext w:val="0"/>
        <w:keepLines w:val="0"/>
        <w:pageBreakBefore w:val="0"/>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sz w:val="32"/>
          <w:szCs w:val="32"/>
          <w:shd w:val="clear" w:color="auto" w:fill="FFFFFF"/>
        </w:rPr>
      </w:pPr>
      <w:r>
        <w:rPr>
          <w:rFonts w:hint="eastAsia" w:ascii="仿宋" w:hAnsi="仿宋" w:eastAsia="仿宋" w:cs="仿宋"/>
          <w:sz w:val="32"/>
          <w:szCs w:val="32"/>
          <w:shd w:val="clear" w:color="auto" w:fill="FFFFFF"/>
        </w:rPr>
        <w:t>整体支出既严格遵循了上级相关文件要求，又结合了我</w:t>
      </w:r>
      <w:r>
        <w:rPr>
          <w:rFonts w:hint="eastAsia" w:ascii="仿宋" w:hAnsi="仿宋" w:eastAsia="仿宋" w:cs="仿宋"/>
          <w:sz w:val="32"/>
          <w:szCs w:val="32"/>
          <w:shd w:val="clear" w:color="auto" w:fill="FFFFFF"/>
          <w:lang w:eastAsia="zh-CN"/>
        </w:rPr>
        <w:t>单位</w:t>
      </w:r>
      <w:r>
        <w:rPr>
          <w:rFonts w:hint="eastAsia" w:ascii="仿宋" w:hAnsi="仿宋" w:eastAsia="仿宋" w:cs="仿宋"/>
          <w:sz w:val="32"/>
          <w:szCs w:val="32"/>
          <w:shd w:val="clear" w:color="auto" w:fill="FFFFFF"/>
        </w:rPr>
        <w:t>工作实际，在资金安排使用上还是比较科学合理的，具有可</w:t>
      </w:r>
      <w:r>
        <w:rPr>
          <w:rFonts w:hint="eastAsia" w:ascii="仿宋" w:hAnsi="仿宋" w:eastAsia="仿宋" w:cs="仿宋"/>
          <w:sz w:val="32"/>
          <w:szCs w:val="32"/>
          <w:shd w:val="clear" w:color="auto" w:fill="FFFFFF"/>
          <w:lang w:eastAsia="zh-CN"/>
        </w:rPr>
        <w:t>持</w:t>
      </w:r>
      <w:r>
        <w:rPr>
          <w:rFonts w:hint="eastAsia" w:ascii="仿宋" w:hAnsi="仿宋" w:eastAsia="仿宋" w:cs="仿宋"/>
          <w:sz w:val="32"/>
          <w:szCs w:val="32"/>
          <w:shd w:val="clear" w:color="auto" w:fill="FFFFFF"/>
        </w:rPr>
        <w:t>续性。</w:t>
      </w:r>
    </w:p>
    <w:p w14:paraId="7162EBA5">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rPr>
        <w:t>（四）社会和公众满意度</w:t>
      </w:r>
    </w:p>
    <w:p w14:paraId="57E87EDA">
      <w:pPr>
        <w:keepNext w:val="0"/>
        <w:keepLines w:val="0"/>
        <w:pageBreakBefore w:val="0"/>
        <w:widowControl/>
        <w:shd w:val="clear" w:color="auto" w:fill="FFFFFF"/>
        <w:kinsoku/>
        <w:wordWrap w:val="0"/>
        <w:overflowPunct/>
        <w:topLinePunct w:val="0"/>
        <w:autoSpaceDE/>
        <w:autoSpaceDN/>
        <w:bidi w:val="0"/>
        <w:adjustRightInd/>
        <w:spacing w:line="600" w:lineRule="exact"/>
        <w:ind w:firstLine="640" w:firstLineChars="200"/>
        <w:textAlignment w:val="auto"/>
        <w:rPr>
          <w:rFonts w:hint="eastAsia" w:ascii="仿宋" w:hAnsi="仿宋" w:eastAsia="仿宋" w:cs="仿宋"/>
          <w:kern w:val="0"/>
          <w:sz w:val="32"/>
          <w:szCs w:val="32"/>
          <w:lang w:eastAsia="zh-CN"/>
        </w:rPr>
      </w:pPr>
      <w:r>
        <w:rPr>
          <w:rFonts w:hint="eastAsia" w:ascii="仿宋" w:hAnsi="仿宋" w:eastAsia="仿宋" w:cs="仿宋"/>
          <w:kern w:val="0"/>
          <w:sz w:val="32"/>
          <w:szCs w:val="32"/>
          <w:lang w:eastAsia="zh-CN"/>
        </w:rPr>
        <w:t>本年度中心认真开展民兵训练保障、基地运维及国防教育工作，通过座谈、现场问询收集服务对象意见，参训民兵对场地设施、后勤保障、安全管理等方面评价良好，社会和公众满意度较高。</w:t>
      </w:r>
    </w:p>
    <w:p w14:paraId="6F6AB0A0">
      <w:pPr>
        <w:keepNext w:val="0"/>
        <w:keepLines w:val="0"/>
        <w:pageBreakBefore w:val="0"/>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五、存在的主要问题</w:t>
      </w:r>
    </w:p>
    <w:p w14:paraId="428CE001">
      <w:pPr>
        <w:keepNext w:val="0"/>
        <w:keepLines w:val="0"/>
        <w:pageBreakBefore w:val="0"/>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shd w:val="clear" w:color="auto" w:fill="FFFFFF"/>
        </w:rPr>
        <w:t xml:space="preserve">因部门整体支出的预算资金安排和使用上仍有不可预见性， 还需加强预算管理，科学编制预算。 </w:t>
      </w:r>
    </w:p>
    <w:p w14:paraId="774FEBBB">
      <w:pPr>
        <w:keepNext w:val="0"/>
        <w:keepLines w:val="0"/>
        <w:pageBreakBefore w:val="0"/>
        <w:kinsoku/>
        <w:wordWrap w:val="0"/>
        <w:overflowPunct/>
        <w:topLinePunct w:val="0"/>
        <w:autoSpaceDE/>
        <w:autoSpaceDN/>
        <w:bidi w:val="0"/>
        <w:adjustRightInd/>
        <w:spacing w:line="600" w:lineRule="exact"/>
        <w:ind w:firstLine="640" w:firstLineChars="200"/>
        <w:jc w:val="left"/>
        <w:textAlignment w:val="auto"/>
        <w:rPr>
          <w:rFonts w:hint="eastAsia" w:ascii="仿宋" w:hAnsi="仿宋" w:eastAsia="仿宋" w:cs="仿宋"/>
          <w:b/>
          <w:sz w:val="32"/>
          <w:szCs w:val="32"/>
        </w:rPr>
      </w:pPr>
      <w:r>
        <w:rPr>
          <w:rFonts w:hint="eastAsia" w:ascii="仿宋" w:hAnsi="仿宋" w:eastAsia="仿宋" w:cs="仿宋"/>
          <w:b/>
          <w:sz w:val="32"/>
          <w:szCs w:val="32"/>
        </w:rPr>
        <w:t>六、改进措施和有关建议</w:t>
      </w:r>
    </w:p>
    <w:p w14:paraId="52454FE7">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一是细化预算管理。科学编制年度预算，严格规范经费审批和使用，厉行节约，提高基本支出资金使用效率。</w:t>
      </w:r>
    </w:p>
    <w:p w14:paraId="3A4C88E8">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二是强化日常管理。常态化做好基地营房、场地、训练器材巡查维护，规范训练保障、安全管理和后勤服务工作。</w:t>
      </w:r>
    </w:p>
    <w:p w14:paraId="72BDF355">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三是提升绩效意识。健全内部管理机制，把绩效管理融入日常工作，持续提升履职保障能力。</w:t>
      </w:r>
    </w:p>
    <w:p w14:paraId="72FCCD68">
      <w:pPr>
        <w:pStyle w:val="12"/>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二、相关建议</w:t>
      </w:r>
    </w:p>
    <w:p w14:paraId="33E48474">
      <w:pPr>
        <w:pStyle w:val="12"/>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CN"/>
        </w:rPr>
        <w:t>一是建议加强业务培训，提升基地管理人员业务及绩效管理能力。</w:t>
      </w:r>
    </w:p>
    <w:p w14:paraId="6889EB4C">
      <w:pPr>
        <w:pStyle w:val="12"/>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二是建议统筹盘活基地现有场地器材资源，充分发挥基地国防教育阵地功能。</w:t>
      </w:r>
    </w:p>
    <w:p w14:paraId="53B8F62E">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C059">
    <w:panose1 w:val="00000500000000000000"/>
    <w:charset w:val="00"/>
    <w:family w:val="auto"/>
    <w:pitch w:val="default"/>
    <w:sig w:usb0="00000287" w:usb1="00000800" w:usb2="00000000" w:usb3="00000000" w:csb0="6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DD24B">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48CFFD">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A03CA2">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508639">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4508639">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C5AE21"/>
    <w:multiLevelType w:val="singleLevel"/>
    <w:tmpl w:val="1CC5AE21"/>
    <w:lvl w:ilvl="0" w:tentative="0">
      <w:start w:val="3"/>
      <w:numFmt w:val="decimal"/>
      <w:suff w:val="nothing"/>
      <w:lvlText w:val="%1、"/>
      <w:lvlJc w:val="left"/>
    </w:lvl>
  </w:abstractNum>
  <w:abstractNum w:abstractNumId="1">
    <w:nsid w:val="665B10D2"/>
    <w:multiLevelType w:val="multilevel"/>
    <w:tmpl w:val="665B10D2"/>
    <w:lvl w:ilvl="0" w:tentative="0">
      <w:start w:val="1"/>
      <w:numFmt w:val="japaneseCounting"/>
      <w:lvlText w:val="%1、"/>
      <w:lvlJc w:val="left"/>
      <w:pPr>
        <w:ind w:left="1322" w:hanging="720"/>
      </w:pPr>
      <w:rPr>
        <w:rFonts w:hint="default"/>
      </w:rPr>
    </w:lvl>
    <w:lvl w:ilvl="1" w:tentative="0">
      <w:start w:val="1"/>
      <w:numFmt w:val="lowerLetter"/>
      <w:lvlText w:val="%2)"/>
      <w:lvlJc w:val="left"/>
      <w:pPr>
        <w:ind w:left="1442" w:hanging="420"/>
      </w:pPr>
    </w:lvl>
    <w:lvl w:ilvl="2" w:tentative="0">
      <w:start w:val="1"/>
      <w:numFmt w:val="lowerRoman"/>
      <w:lvlText w:val="%3."/>
      <w:lvlJc w:val="right"/>
      <w:pPr>
        <w:ind w:left="1862" w:hanging="420"/>
      </w:pPr>
    </w:lvl>
    <w:lvl w:ilvl="3" w:tentative="0">
      <w:start w:val="1"/>
      <w:numFmt w:val="decimal"/>
      <w:lvlText w:val="%4."/>
      <w:lvlJc w:val="left"/>
      <w:pPr>
        <w:ind w:left="2282" w:hanging="420"/>
      </w:pPr>
    </w:lvl>
    <w:lvl w:ilvl="4" w:tentative="0">
      <w:start w:val="1"/>
      <w:numFmt w:val="lowerLetter"/>
      <w:lvlText w:val="%5)"/>
      <w:lvlJc w:val="left"/>
      <w:pPr>
        <w:ind w:left="2702" w:hanging="420"/>
      </w:pPr>
    </w:lvl>
    <w:lvl w:ilvl="5" w:tentative="0">
      <w:start w:val="1"/>
      <w:numFmt w:val="lowerRoman"/>
      <w:lvlText w:val="%6."/>
      <w:lvlJc w:val="right"/>
      <w:pPr>
        <w:ind w:left="3122" w:hanging="420"/>
      </w:pPr>
    </w:lvl>
    <w:lvl w:ilvl="6" w:tentative="0">
      <w:start w:val="1"/>
      <w:numFmt w:val="decimal"/>
      <w:lvlText w:val="%7."/>
      <w:lvlJc w:val="left"/>
      <w:pPr>
        <w:ind w:left="3542" w:hanging="420"/>
      </w:pPr>
    </w:lvl>
    <w:lvl w:ilvl="7" w:tentative="0">
      <w:start w:val="1"/>
      <w:numFmt w:val="lowerLetter"/>
      <w:lvlText w:val="%8)"/>
      <w:lvlJc w:val="left"/>
      <w:pPr>
        <w:ind w:left="3962" w:hanging="420"/>
      </w:pPr>
    </w:lvl>
    <w:lvl w:ilvl="8" w:tentative="0">
      <w:start w:val="1"/>
      <w:numFmt w:val="lowerRoman"/>
      <w:lvlText w:val="%9."/>
      <w:lvlJc w:val="right"/>
      <w:pPr>
        <w:ind w:left="4382" w:hanging="420"/>
      </w:pPr>
    </w:lvl>
  </w:abstractNum>
  <w:abstractNum w:abstractNumId="2">
    <w:nsid w:val="71976A1C"/>
    <w:multiLevelType w:val="singleLevel"/>
    <w:tmpl w:val="71976A1C"/>
    <w:lvl w:ilvl="0" w:tentative="0">
      <w:start w:val="1"/>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8274C"/>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83F91"/>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34736"/>
    <w:rsid w:val="00A42218"/>
    <w:rsid w:val="00A70249"/>
    <w:rsid w:val="00A70B02"/>
    <w:rsid w:val="00A71D9F"/>
    <w:rsid w:val="00A81116"/>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0770D"/>
    <w:rsid w:val="00E37D6C"/>
    <w:rsid w:val="00E55B68"/>
    <w:rsid w:val="00E561AE"/>
    <w:rsid w:val="00E67BE6"/>
    <w:rsid w:val="00E8683C"/>
    <w:rsid w:val="00EA2B72"/>
    <w:rsid w:val="00F74360"/>
    <w:rsid w:val="00FB462F"/>
    <w:rsid w:val="00FE16FA"/>
    <w:rsid w:val="00FE328A"/>
    <w:rsid w:val="00FE6269"/>
    <w:rsid w:val="00FF5CD6"/>
    <w:rsid w:val="02227CB4"/>
    <w:rsid w:val="02D8173D"/>
    <w:rsid w:val="02E01C47"/>
    <w:rsid w:val="036B2748"/>
    <w:rsid w:val="03936CB9"/>
    <w:rsid w:val="04244F17"/>
    <w:rsid w:val="046643CE"/>
    <w:rsid w:val="04804E6D"/>
    <w:rsid w:val="06862B05"/>
    <w:rsid w:val="0739256A"/>
    <w:rsid w:val="076F49C2"/>
    <w:rsid w:val="077D1961"/>
    <w:rsid w:val="08315667"/>
    <w:rsid w:val="083F44CE"/>
    <w:rsid w:val="08605E0B"/>
    <w:rsid w:val="08E77E2A"/>
    <w:rsid w:val="09960F41"/>
    <w:rsid w:val="0A0005F0"/>
    <w:rsid w:val="0B3A1FBE"/>
    <w:rsid w:val="0B576930"/>
    <w:rsid w:val="0BD27E52"/>
    <w:rsid w:val="0C774CF8"/>
    <w:rsid w:val="0CA43CE5"/>
    <w:rsid w:val="0D74731F"/>
    <w:rsid w:val="0DC10F82"/>
    <w:rsid w:val="0E572FD9"/>
    <w:rsid w:val="0EB3112E"/>
    <w:rsid w:val="0EBC6F03"/>
    <w:rsid w:val="0FD20B69"/>
    <w:rsid w:val="10F7591A"/>
    <w:rsid w:val="118C11EC"/>
    <w:rsid w:val="12296A3A"/>
    <w:rsid w:val="12557AEC"/>
    <w:rsid w:val="12A644BF"/>
    <w:rsid w:val="12D240D0"/>
    <w:rsid w:val="13287A7C"/>
    <w:rsid w:val="13463BDA"/>
    <w:rsid w:val="13B53E30"/>
    <w:rsid w:val="13DB3D64"/>
    <w:rsid w:val="14327E28"/>
    <w:rsid w:val="15354668"/>
    <w:rsid w:val="15400323"/>
    <w:rsid w:val="15431BC1"/>
    <w:rsid w:val="15A20FDE"/>
    <w:rsid w:val="16871695"/>
    <w:rsid w:val="17414AF5"/>
    <w:rsid w:val="17681DB3"/>
    <w:rsid w:val="17B6556F"/>
    <w:rsid w:val="17E579B0"/>
    <w:rsid w:val="190D5CD7"/>
    <w:rsid w:val="197C7068"/>
    <w:rsid w:val="19AC4F52"/>
    <w:rsid w:val="19FFA2A8"/>
    <w:rsid w:val="1AE12AAC"/>
    <w:rsid w:val="1B55264E"/>
    <w:rsid w:val="1B7E3953"/>
    <w:rsid w:val="1BBB4BA7"/>
    <w:rsid w:val="1CA6421C"/>
    <w:rsid w:val="1CAF0084"/>
    <w:rsid w:val="1D1F7181"/>
    <w:rsid w:val="1D97DEFF"/>
    <w:rsid w:val="1DB11BE9"/>
    <w:rsid w:val="1DFF72E5"/>
    <w:rsid w:val="1EFC6F07"/>
    <w:rsid w:val="1FE44970"/>
    <w:rsid w:val="200F54C2"/>
    <w:rsid w:val="20364C60"/>
    <w:rsid w:val="20996FA4"/>
    <w:rsid w:val="20A630D0"/>
    <w:rsid w:val="20BE3578"/>
    <w:rsid w:val="20F12E19"/>
    <w:rsid w:val="211D4132"/>
    <w:rsid w:val="217B10F6"/>
    <w:rsid w:val="21B7196D"/>
    <w:rsid w:val="21BC51D5"/>
    <w:rsid w:val="22517AAF"/>
    <w:rsid w:val="22B96452"/>
    <w:rsid w:val="22F06F13"/>
    <w:rsid w:val="23AE6B60"/>
    <w:rsid w:val="240B75A8"/>
    <w:rsid w:val="248269CB"/>
    <w:rsid w:val="24BA608A"/>
    <w:rsid w:val="24BF5013"/>
    <w:rsid w:val="24C8155E"/>
    <w:rsid w:val="25997F44"/>
    <w:rsid w:val="25A92766"/>
    <w:rsid w:val="25DE1D06"/>
    <w:rsid w:val="262275D1"/>
    <w:rsid w:val="26460754"/>
    <w:rsid w:val="27466238"/>
    <w:rsid w:val="277F2F2D"/>
    <w:rsid w:val="27E86D24"/>
    <w:rsid w:val="284A7DF2"/>
    <w:rsid w:val="28836C1A"/>
    <w:rsid w:val="288F5DE4"/>
    <w:rsid w:val="28AF0448"/>
    <w:rsid w:val="29622A89"/>
    <w:rsid w:val="29642508"/>
    <w:rsid w:val="2A1069C1"/>
    <w:rsid w:val="2AB60715"/>
    <w:rsid w:val="2AD83BB6"/>
    <w:rsid w:val="2B734B48"/>
    <w:rsid w:val="2BE13AE1"/>
    <w:rsid w:val="2C1752F9"/>
    <w:rsid w:val="2C901738"/>
    <w:rsid w:val="2CD979CA"/>
    <w:rsid w:val="2D281971"/>
    <w:rsid w:val="2D303B09"/>
    <w:rsid w:val="2D483DC1"/>
    <w:rsid w:val="2DB65067"/>
    <w:rsid w:val="2E692241"/>
    <w:rsid w:val="2EE432BC"/>
    <w:rsid w:val="2FB32A33"/>
    <w:rsid w:val="2FDF85B8"/>
    <w:rsid w:val="2FFFEE04"/>
    <w:rsid w:val="30554468"/>
    <w:rsid w:val="311C23E5"/>
    <w:rsid w:val="328A6C2A"/>
    <w:rsid w:val="33727DEA"/>
    <w:rsid w:val="338D4C23"/>
    <w:rsid w:val="34DF85B0"/>
    <w:rsid w:val="36A84F61"/>
    <w:rsid w:val="36E4730D"/>
    <w:rsid w:val="36F8526B"/>
    <w:rsid w:val="37217B5C"/>
    <w:rsid w:val="379D2F5B"/>
    <w:rsid w:val="37E961A0"/>
    <w:rsid w:val="38332BFF"/>
    <w:rsid w:val="38787C50"/>
    <w:rsid w:val="38FD47B0"/>
    <w:rsid w:val="39CD712B"/>
    <w:rsid w:val="39E35098"/>
    <w:rsid w:val="3B8F36BC"/>
    <w:rsid w:val="3D4F6AA6"/>
    <w:rsid w:val="3D5B233F"/>
    <w:rsid w:val="3D950CBD"/>
    <w:rsid w:val="3D9618AB"/>
    <w:rsid w:val="3DBA461E"/>
    <w:rsid w:val="3DE6740A"/>
    <w:rsid w:val="3E7111AC"/>
    <w:rsid w:val="3EFA2B3E"/>
    <w:rsid w:val="3F2D1C74"/>
    <w:rsid w:val="3F8E7D59"/>
    <w:rsid w:val="3F9904AC"/>
    <w:rsid w:val="4093314D"/>
    <w:rsid w:val="40C83226"/>
    <w:rsid w:val="412070D7"/>
    <w:rsid w:val="41A94EDE"/>
    <w:rsid w:val="42235A95"/>
    <w:rsid w:val="42A412AD"/>
    <w:rsid w:val="42D57A4D"/>
    <w:rsid w:val="43671FE0"/>
    <w:rsid w:val="445D058E"/>
    <w:rsid w:val="450F36EA"/>
    <w:rsid w:val="45237220"/>
    <w:rsid w:val="4530540F"/>
    <w:rsid w:val="45E306D3"/>
    <w:rsid w:val="462C207A"/>
    <w:rsid w:val="46651C69"/>
    <w:rsid w:val="46C42537"/>
    <w:rsid w:val="474E222A"/>
    <w:rsid w:val="48AC2FFE"/>
    <w:rsid w:val="491FF225"/>
    <w:rsid w:val="4958499C"/>
    <w:rsid w:val="499D73BF"/>
    <w:rsid w:val="4A161077"/>
    <w:rsid w:val="4A1953E5"/>
    <w:rsid w:val="4AAF5028"/>
    <w:rsid w:val="4B7A47E8"/>
    <w:rsid w:val="4BBC79FC"/>
    <w:rsid w:val="4C4C1669"/>
    <w:rsid w:val="4C5377F9"/>
    <w:rsid w:val="4D500131"/>
    <w:rsid w:val="4DD80C70"/>
    <w:rsid w:val="4DEE6095"/>
    <w:rsid w:val="4E0A3E8A"/>
    <w:rsid w:val="4E192EE4"/>
    <w:rsid w:val="4E4A7BFE"/>
    <w:rsid w:val="4EA8087A"/>
    <w:rsid w:val="4FFD214C"/>
    <w:rsid w:val="504F52E3"/>
    <w:rsid w:val="51453FF0"/>
    <w:rsid w:val="518E552F"/>
    <w:rsid w:val="52491DA2"/>
    <w:rsid w:val="52505342"/>
    <w:rsid w:val="54324D8D"/>
    <w:rsid w:val="546926EB"/>
    <w:rsid w:val="54DA705C"/>
    <w:rsid w:val="56955A19"/>
    <w:rsid w:val="56B149E5"/>
    <w:rsid w:val="570F30D6"/>
    <w:rsid w:val="571F6BE8"/>
    <w:rsid w:val="5777D4F5"/>
    <w:rsid w:val="577F6A9F"/>
    <w:rsid w:val="57B32A0E"/>
    <w:rsid w:val="57D30A9A"/>
    <w:rsid w:val="58E02579"/>
    <w:rsid w:val="58E40592"/>
    <w:rsid w:val="595E0456"/>
    <w:rsid w:val="599553D3"/>
    <w:rsid w:val="599B50F5"/>
    <w:rsid w:val="59DD8326"/>
    <w:rsid w:val="5A242985"/>
    <w:rsid w:val="5A992006"/>
    <w:rsid w:val="5AAE3B27"/>
    <w:rsid w:val="5ADB093A"/>
    <w:rsid w:val="5B2B06FA"/>
    <w:rsid w:val="5B5429C0"/>
    <w:rsid w:val="5B5465E5"/>
    <w:rsid w:val="5BFB1E7B"/>
    <w:rsid w:val="5C47587E"/>
    <w:rsid w:val="5CD10E2D"/>
    <w:rsid w:val="5D082985"/>
    <w:rsid w:val="5D4E06D0"/>
    <w:rsid w:val="5D8D2FA6"/>
    <w:rsid w:val="5DEF592A"/>
    <w:rsid w:val="5E0170A0"/>
    <w:rsid w:val="5E5B62BC"/>
    <w:rsid w:val="5EE4753E"/>
    <w:rsid w:val="5F0B4ACB"/>
    <w:rsid w:val="5F36600F"/>
    <w:rsid w:val="5F4E6765"/>
    <w:rsid w:val="5F814D8D"/>
    <w:rsid w:val="5F897A82"/>
    <w:rsid w:val="5FB46F10"/>
    <w:rsid w:val="5FC6BB1E"/>
    <w:rsid w:val="5FF720F1"/>
    <w:rsid w:val="60035F6A"/>
    <w:rsid w:val="603F12DC"/>
    <w:rsid w:val="606749B9"/>
    <w:rsid w:val="61030D8D"/>
    <w:rsid w:val="61961018"/>
    <w:rsid w:val="61AE648A"/>
    <w:rsid w:val="625F1222"/>
    <w:rsid w:val="62C82E4B"/>
    <w:rsid w:val="62D5699C"/>
    <w:rsid w:val="63112227"/>
    <w:rsid w:val="634360C9"/>
    <w:rsid w:val="63985AC3"/>
    <w:rsid w:val="64067F0D"/>
    <w:rsid w:val="64383033"/>
    <w:rsid w:val="652D55BE"/>
    <w:rsid w:val="65D247E6"/>
    <w:rsid w:val="660278F8"/>
    <w:rsid w:val="661D6FAC"/>
    <w:rsid w:val="6649596B"/>
    <w:rsid w:val="66F9345B"/>
    <w:rsid w:val="67311DA8"/>
    <w:rsid w:val="67394967"/>
    <w:rsid w:val="67A64876"/>
    <w:rsid w:val="67DB4CC0"/>
    <w:rsid w:val="67E73BFB"/>
    <w:rsid w:val="67FF5C0B"/>
    <w:rsid w:val="687D1EB4"/>
    <w:rsid w:val="68BB19A5"/>
    <w:rsid w:val="691557E6"/>
    <w:rsid w:val="69AF0748"/>
    <w:rsid w:val="6A493ECB"/>
    <w:rsid w:val="6AF10850"/>
    <w:rsid w:val="6B014FD4"/>
    <w:rsid w:val="6B180CC2"/>
    <w:rsid w:val="6B6333F1"/>
    <w:rsid w:val="6B8E2845"/>
    <w:rsid w:val="6B9D4CFC"/>
    <w:rsid w:val="6B9E01E0"/>
    <w:rsid w:val="6C77379F"/>
    <w:rsid w:val="6C9200DF"/>
    <w:rsid w:val="6D390A55"/>
    <w:rsid w:val="6D544AB7"/>
    <w:rsid w:val="6DA827C9"/>
    <w:rsid w:val="6DA92377"/>
    <w:rsid w:val="6DD2518E"/>
    <w:rsid w:val="6E461EB4"/>
    <w:rsid w:val="6EFC0924"/>
    <w:rsid w:val="6F2614AD"/>
    <w:rsid w:val="6F2A4AF9"/>
    <w:rsid w:val="6FB74722"/>
    <w:rsid w:val="6FEF8B7E"/>
    <w:rsid w:val="70645DE9"/>
    <w:rsid w:val="706627F5"/>
    <w:rsid w:val="71457D77"/>
    <w:rsid w:val="71A6591B"/>
    <w:rsid w:val="720F7FD6"/>
    <w:rsid w:val="724217EE"/>
    <w:rsid w:val="7242215A"/>
    <w:rsid w:val="72E956AB"/>
    <w:rsid w:val="733103CE"/>
    <w:rsid w:val="733B20A7"/>
    <w:rsid w:val="737D59BA"/>
    <w:rsid w:val="73E93F75"/>
    <w:rsid w:val="73EB364D"/>
    <w:rsid w:val="740D126C"/>
    <w:rsid w:val="7420296E"/>
    <w:rsid w:val="743C0E2B"/>
    <w:rsid w:val="74404DBF"/>
    <w:rsid w:val="74786307"/>
    <w:rsid w:val="74EE26D6"/>
    <w:rsid w:val="761A10C5"/>
    <w:rsid w:val="76D232AD"/>
    <w:rsid w:val="76DB492B"/>
    <w:rsid w:val="76E03F7A"/>
    <w:rsid w:val="775609AF"/>
    <w:rsid w:val="77747C82"/>
    <w:rsid w:val="77C37683"/>
    <w:rsid w:val="786817B4"/>
    <w:rsid w:val="78C10CD3"/>
    <w:rsid w:val="79142376"/>
    <w:rsid w:val="79301C3A"/>
    <w:rsid w:val="794B7D41"/>
    <w:rsid w:val="79837AAE"/>
    <w:rsid w:val="79D19834"/>
    <w:rsid w:val="79FF515B"/>
    <w:rsid w:val="7A821B87"/>
    <w:rsid w:val="7B44728F"/>
    <w:rsid w:val="7BDA3403"/>
    <w:rsid w:val="7BF549BF"/>
    <w:rsid w:val="7CA3642A"/>
    <w:rsid w:val="7D050953"/>
    <w:rsid w:val="7DA22646"/>
    <w:rsid w:val="7DB7056A"/>
    <w:rsid w:val="7E1150F5"/>
    <w:rsid w:val="7E3111DC"/>
    <w:rsid w:val="7E9E1962"/>
    <w:rsid w:val="7E9F11B4"/>
    <w:rsid w:val="7EC54B1C"/>
    <w:rsid w:val="7ECF1219"/>
    <w:rsid w:val="7ED86439"/>
    <w:rsid w:val="7EE2719E"/>
    <w:rsid w:val="7EE44058"/>
    <w:rsid w:val="7F37EC1E"/>
    <w:rsid w:val="7F7DCD9D"/>
    <w:rsid w:val="7F970A6F"/>
    <w:rsid w:val="7FB84341"/>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4"/>
    <w:semiHidden/>
    <w:unhideWhenUsed/>
    <w:qFormat/>
    <w:uiPriority w:val="99"/>
    <w:rPr>
      <w:sz w:val="18"/>
      <w:szCs w:val="18"/>
    </w:rPr>
  </w:style>
  <w:style w:type="paragraph" w:styleId="6">
    <w:name w:val="footer"/>
    <w:basedOn w:val="1"/>
    <w:link w:val="11"/>
    <w:unhideWhenUsed/>
    <w:qFormat/>
    <w:uiPriority w:val="99"/>
    <w:pPr>
      <w:tabs>
        <w:tab w:val="center" w:pos="4153"/>
        <w:tab w:val="right" w:pos="8306"/>
      </w:tabs>
      <w:snapToGrid w:val="0"/>
      <w:jc w:val="left"/>
    </w:pPr>
    <w:rPr>
      <w:sz w:val="18"/>
      <w:szCs w:val="18"/>
    </w:rPr>
  </w:style>
  <w:style w:type="paragraph" w:styleId="7">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qFormat/>
    <w:uiPriority w:val="99"/>
    <w:rPr>
      <w:sz w:val="18"/>
      <w:szCs w:val="18"/>
    </w:rPr>
  </w:style>
  <w:style w:type="character" w:customStyle="1" w:styleId="11">
    <w:name w:val="页脚 Char"/>
    <w:basedOn w:val="9"/>
    <w:link w:val="6"/>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5"/>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433</Words>
  <Characters>439</Characters>
  <Lines>69</Lines>
  <Paragraphs>19</Paragraphs>
  <TotalTime>9</TotalTime>
  <ScaleCrop>false</ScaleCrop>
  <LinksUpToDate>false</LinksUpToDate>
  <CharactersWithSpaces>446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kylin</cp:lastModifiedBy>
  <cp:lastPrinted>2024-08-10T10:20:00Z</cp:lastPrinted>
  <dcterms:modified xsi:type="dcterms:W3CDTF">2026-09-10T15:55:27Z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C4AD030DFA5F4AF89009C4AC5E1026CA_13</vt:lpwstr>
  </property>
  <property fmtid="{D5CDD505-2E9C-101B-9397-08002B2CF9AE}" pid="4" name="KSOTemplateDocerSaveRecord">
    <vt:lpwstr>eyJoZGlkIjoiZTAwNDg3NDMwNGJlOGYyMDYzM2MxNDUyNGMzZjk4OTAiLCJ1c2VySWQiOiIxMTc2NzI1NTM5In0=</vt:lpwstr>
  </property>
</Properties>
</file>