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077D8">
      <w:pPr>
        <w:pStyle w:val="14"/>
        <w:jc w:val="center"/>
        <w:rPr>
          <w:rFonts w:ascii="Times New Roman" w:hAnsi="Times New Roman" w:cs="Times New Roman"/>
          <w:sz w:val="56"/>
          <w:szCs w:val="56"/>
        </w:rPr>
      </w:pPr>
    </w:p>
    <w:p w14:paraId="77F76812">
      <w:pPr>
        <w:pStyle w:val="14"/>
        <w:jc w:val="center"/>
        <w:rPr>
          <w:rFonts w:ascii="Times New Roman" w:hAnsi="Times New Roman" w:cs="Times New Roman"/>
          <w:sz w:val="84"/>
          <w:szCs w:val="84"/>
        </w:rPr>
      </w:pPr>
    </w:p>
    <w:p w14:paraId="24BE74FD">
      <w:pPr>
        <w:pStyle w:val="14"/>
        <w:jc w:val="center"/>
        <w:rPr>
          <w:rFonts w:ascii="Times New Roman" w:hAnsi="Times New Roman" w:cs="Times New Roman"/>
          <w:sz w:val="84"/>
          <w:szCs w:val="84"/>
        </w:rPr>
      </w:pPr>
    </w:p>
    <w:p w14:paraId="58627BF9">
      <w:pPr>
        <w:widowControl/>
        <w:spacing w:line="600" w:lineRule="exact"/>
        <w:jc w:val="center"/>
        <w:rPr>
          <w:rFonts w:hint="eastAsia" w:ascii="黑体" w:hAnsi="黑体" w:eastAsia="黑体" w:cs="黑体"/>
          <w:b/>
          <w:bCs w:val="0"/>
          <w:kern w:val="0"/>
          <w:sz w:val="44"/>
          <w:szCs w:val="44"/>
        </w:rPr>
      </w:pPr>
      <w:r>
        <w:rPr>
          <w:rFonts w:hint="eastAsia" w:ascii="黑体" w:hAnsi="黑体" w:eastAsia="黑体" w:cs="黑体"/>
          <w:b/>
          <w:bCs w:val="0"/>
          <w:kern w:val="0"/>
          <w:sz w:val="44"/>
          <w:szCs w:val="44"/>
          <w:lang w:val="en-US" w:eastAsia="zh-CN"/>
        </w:rPr>
        <w:t>2025</w:t>
      </w:r>
      <w:r>
        <w:rPr>
          <w:rFonts w:hint="eastAsia" w:ascii="黑体" w:hAnsi="黑体" w:eastAsia="黑体" w:cs="黑体"/>
          <w:b/>
          <w:bCs w:val="0"/>
          <w:kern w:val="0"/>
          <w:sz w:val="44"/>
          <w:szCs w:val="44"/>
        </w:rPr>
        <w:t>年蓝山县市场服务中心决算</w:t>
      </w:r>
    </w:p>
    <w:p w14:paraId="52DDB912">
      <w:pPr>
        <w:pStyle w:val="14"/>
        <w:jc w:val="center"/>
        <w:rPr>
          <w:rFonts w:ascii="Times New Roman" w:hAnsi="Times New Roman" w:eastAsia="方正小标宋_GBK" w:cs="Times New Roman"/>
          <w:sz w:val="56"/>
          <w:szCs w:val="56"/>
        </w:rPr>
      </w:pPr>
    </w:p>
    <w:p w14:paraId="4FABEE0B">
      <w:pPr>
        <w:pStyle w:val="14"/>
        <w:jc w:val="center"/>
        <w:rPr>
          <w:rFonts w:ascii="Times New Roman" w:hAnsi="Times New Roman" w:cs="Times New Roman"/>
          <w:sz w:val="56"/>
          <w:szCs w:val="56"/>
        </w:rPr>
      </w:pPr>
    </w:p>
    <w:p w14:paraId="535B90EE">
      <w:pPr>
        <w:pStyle w:val="14"/>
        <w:rPr>
          <w:rFonts w:ascii="Times New Roman" w:hAnsi="Times New Roman" w:cs="Times New Roman"/>
          <w:sz w:val="56"/>
          <w:szCs w:val="56"/>
        </w:rPr>
      </w:pPr>
    </w:p>
    <w:p w14:paraId="0356CBD9">
      <w:pPr>
        <w:pStyle w:val="14"/>
        <w:jc w:val="center"/>
        <w:rPr>
          <w:rFonts w:ascii="Times New Roman" w:hAnsi="Times New Roman" w:cs="Times New Roman"/>
          <w:sz w:val="32"/>
          <w:szCs w:val="32"/>
        </w:rPr>
      </w:pPr>
    </w:p>
    <w:p w14:paraId="3AC9C0B8">
      <w:pPr>
        <w:pStyle w:val="14"/>
        <w:jc w:val="center"/>
        <w:rPr>
          <w:rFonts w:ascii="Times New Roman" w:hAnsi="Times New Roman" w:cs="Times New Roman"/>
          <w:sz w:val="32"/>
          <w:szCs w:val="32"/>
        </w:rPr>
      </w:pPr>
    </w:p>
    <w:p w14:paraId="496E6D81">
      <w:pPr>
        <w:pStyle w:val="14"/>
        <w:jc w:val="center"/>
        <w:rPr>
          <w:rFonts w:ascii="Times New Roman" w:hAnsi="Times New Roman" w:cs="Times New Roman"/>
          <w:sz w:val="32"/>
          <w:szCs w:val="32"/>
        </w:rPr>
      </w:pPr>
    </w:p>
    <w:p w14:paraId="3D7B1B38">
      <w:pPr>
        <w:pStyle w:val="14"/>
        <w:jc w:val="center"/>
        <w:rPr>
          <w:rFonts w:ascii="Times New Roman" w:hAnsi="Times New Roman" w:cs="Times New Roman"/>
          <w:sz w:val="32"/>
          <w:szCs w:val="32"/>
        </w:rPr>
      </w:pPr>
    </w:p>
    <w:p w14:paraId="23F7A8C0">
      <w:pPr>
        <w:pStyle w:val="14"/>
        <w:jc w:val="center"/>
        <w:rPr>
          <w:rFonts w:ascii="Times New Roman" w:hAnsi="Times New Roman" w:cs="Times New Roman"/>
          <w:sz w:val="32"/>
          <w:szCs w:val="32"/>
        </w:rPr>
      </w:pPr>
    </w:p>
    <w:p w14:paraId="6212E33B">
      <w:pPr>
        <w:pStyle w:val="14"/>
        <w:jc w:val="center"/>
        <w:rPr>
          <w:rFonts w:ascii="Times New Roman" w:hAnsi="Times New Roman" w:cs="Times New Roman"/>
          <w:sz w:val="32"/>
          <w:szCs w:val="32"/>
        </w:rPr>
      </w:pPr>
    </w:p>
    <w:p w14:paraId="2807ABC6">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311DB60">
      <w:pPr>
        <w:pStyle w:val="14"/>
        <w:spacing w:line="600" w:lineRule="exact"/>
        <w:ind w:firstLine="3960" w:firstLineChars="1100"/>
        <w:jc w:val="both"/>
        <w:rPr>
          <w:rFonts w:ascii="Times New Roman" w:hAnsi="Times New Roman" w:cs="Times New Roman"/>
          <w:bCs/>
          <w:sz w:val="36"/>
          <w:szCs w:val="28"/>
        </w:rPr>
      </w:pPr>
      <w:r>
        <w:rPr>
          <w:rFonts w:ascii="Times New Roman" w:hAnsi="Times New Roman" w:cs="Times New Roman"/>
          <w:bCs/>
          <w:sz w:val="36"/>
          <w:szCs w:val="28"/>
        </w:rPr>
        <w:t>目  录</w:t>
      </w:r>
    </w:p>
    <w:p w14:paraId="0F429731">
      <w:pPr>
        <w:pStyle w:val="14"/>
        <w:spacing w:line="600" w:lineRule="exact"/>
        <w:jc w:val="center"/>
        <w:rPr>
          <w:rFonts w:ascii="Times New Roman" w:hAnsi="Times New Roman" w:cs="Times New Roman"/>
          <w:b/>
          <w:sz w:val="36"/>
          <w:szCs w:val="28"/>
        </w:rPr>
      </w:pPr>
    </w:p>
    <w:p w14:paraId="3353CFBE">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蓝山县市场服务中心</w:t>
      </w:r>
      <w:r>
        <w:rPr>
          <w:rFonts w:ascii="Times New Roman" w:hAnsi="Times New Roman" w:cs="Times New Roman"/>
          <w:bCs/>
          <w:sz w:val="32"/>
          <w:szCs w:val="32"/>
        </w:rPr>
        <w:t>部门概况</w:t>
      </w:r>
    </w:p>
    <w:p w14:paraId="2D311A6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C5B07C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C637BF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第二部分 </w:t>
      </w:r>
      <w:r>
        <w:rPr>
          <w:rFonts w:hint="eastAsia" w:ascii="Times New Roman" w:hAnsi="Times New Roman" w:cs="Times New Roman"/>
          <w:bCs/>
          <w:sz w:val="32"/>
          <w:szCs w:val="32"/>
          <w:lang w:val="en-US" w:eastAsia="zh-CN"/>
        </w:rPr>
        <w:t>2025年</w:t>
      </w:r>
      <w:r>
        <w:rPr>
          <w:rFonts w:ascii="Times New Roman" w:hAnsi="Times New Roman" w:cs="Times New Roman"/>
          <w:bCs/>
          <w:sz w:val="32"/>
          <w:szCs w:val="32"/>
        </w:rPr>
        <w:t>部门决算表</w:t>
      </w:r>
    </w:p>
    <w:p w14:paraId="7DDF8FC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496F2C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03AEE7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92E3A5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A6FEBC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832A63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384BE0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2222D1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9D6314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515312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FE7D5C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13ECE1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A0098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A47D0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DA728C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02DB84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2576D8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1149F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131C73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69918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298853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CFFAA7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F18FB3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BDB2E0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0DBDB2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6E3673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68EDAD7">
      <w:pPr>
        <w:pStyle w:val="14"/>
        <w:spacing w:line="600" w:lineRule="exact"/>
        <w:rPr>
          <w:rFonts w:ascii="Times New Roman" w:hAnsi="Times New Roman" w:cs="Times New Roman"/>
          <w:bCs/>
          <w:sz w:val="28"/>
          <w:szCs w:val="28"/>
        </w:rPr>
      </w:pPr>
    </w:p>
    <w:p w14:paraId="411A05DC">
      <w:pPr>
        <w:jc w:val="center"/>
        <w:rPr>
          <w:rFonts w:ascii="Times New Roman" w:hAnsi="Times New Roman" w:cs="Times New Roman"/>
          <w:sz w:val="72"/>
          <w:szCs w:val="72"/>
        </w:rPr>
      </w:pPr>
    </w:p>
    <w:p w14:paraId="45332847">
      <w:pPr>
        <w:jc w:val="center"/>
        <w:rPr>
          <w:rFonts w:ascii="Times New Roman" w:hAnsi="Times New Roman" w:cs="Times New Roman"/>
          <w:sz w:val="72"/>
          <w:szCs w:val="72"/>
        </w:rPr>
      </w:pPr>
    </w:p>
    <w:p w14:paraId="44ADB222">
      <w:pPr>
        <w:jc w:val="center"/>
        <w:rPr>
          <w:rFonts w:ascii="Times New Roman" w:hAnsi="Times New Roman" w:cs="Times New Roman"/>
          <w:sz w:val="72"/>
          <w:szCs w:val="72"/>
        </w:rPr>
      </w:pPr>
    </w:p>
    <w:p w14:paraId="39BF42A3">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A65D73D">
      <w:pPr>
        <w:rPr>
          <w:rFonts w:ascii="Times New Roman" w:hAnsi="Times New Roman" w:eastAsia="方正小标宋_GBK" w:cs="Times New Roman"/>
          <w:sz w:val="72"/>
          <w:szCs w:val="72"/>
        </w:rPr>
      </w:pPr>
    </w:p>
    <w:p w14:paraId="1C74B7E0">
      <w:pPr>
        <w:widowControl/>
        <w:spacing w:line="600" w:lineRule="exact"/>
        <w:jc w:val="center"/>
        <w:outlineLvl w:val="0"/>
        <w:rPr>
          <w:rFonts w:hint="eastAsia" w:ascii="黑体" w:hAnsi="黑体" w:eastAsia="黑体" w:cs="黑体"/>
          <w:b/>
          <w:bCs w:val="0"/>
          <w:kern w:val="0"/>
          <w:sz w:val="44"/>
          <w:szCs w:val="44"/>
        </w:rPr>
      </w:pPr>
      <w:r>
        <w:rPr>
          <w:rFonts w:hint="eastAsia" w:ascii="黑体" w:hAnsi="黑体" w:eastAsia="黑体" w:cs="黑体"/>
          <w:b/>
          <w:bCs w:val="0"/>
          <w:kern w:val="0"/>
          <w:sz w:val="44"/>
          <w:szCs w:val="44"/>
        </w:rPr>
        <w:t>第一部分 蓝山县市场服务中心概况</w:t>
      </w:r>
    </w:p>
    <w:p w14:paraId="2B8CBF65">
      <w:pPr>
        <w:pStyle w:val="5"/>
        <w:ind w:left="0" w:leftChars="0" w:firstLine="0" w:firstLineChars="0"/>
        <w:rPr>
          <w:rFonts w:ascii="Times New Roman" w:hAnsi="Times New Roman" w:cs="Times New Roman"/>
        </w:rPr>
      </w:pPr>
    </w:p>
    <w:p w14:paraId="41C51DB5">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0492D3D">
      <w:pPr>
        <w:widowControl/>
        <w:spacing w:line="600" w:lineRule="exact"/>
        <w:ind w:firstLine="640" w:firstLineChars="200"/>
        <w:outlineLvl w:val="1"/>
        <w:rPr>
          <w:rFonts w:hint="eastAsia" w:ascii="仿宋_GB2312" w:hAnsi="仿宋_GB2312" w:eastAsia="仿宋_GB2312" w:cs="仿宋_GB2312"/>
          <w:b w:val="0"/>
          <w:bCs w:val="0"/>
          <w:kern w:val="0"/>
          <w:sz w:val="32"/>
          <w:szCs w:val="32"/>
          <w:lang w:eastAsia="zh-CN"/>
        </w:rPr>
      </w:pPr>
      <w:r>
        <w:rPr>
          <w:rFonts w:hint="default" w:ascii="仿宋_GB2312" w:hAnsi="仿宋_GB2312" w:eastAsia="仿宋_GB2312" w:cs="仿宋_GB2312"/>
          <w:b w:val="0"/>
          <w:bCs w:val="0"/>
          <w:kern w:val="0"/>
          <w:sz w:val="32"/>
          <w:szCs w:val="32"/>
          <w:lang w:val="en-US" w:eastAsia="zh-CN"/>
        </w:rPr>
        <w:t>我中心</w:t>
      </w:r>
      <w:r>
        <w:rPr>
          <w:rFonts w:hint="eastAsia" w:ascii="仿宋_GB2312" w:hAnsi="仿宋_GB2312" w:eastAsia="仿宋_GB2312" w:cs="仿宋_GB2312"/>
          <w:b w:val="0"/>
          <w:bCs w:val="0"/>
          <w:kern w:val="0"/>
          <w:sz w:val="32"/>
          <w:szCs w:val="32"/>
          <w:lang w:eastAsia="zh-CN"/>
        </w:rPr>
        <w:t>是由2000年工商体制改革分流出来的自收自支性质</w:t>
      </w:r>
      <w:r>
        <w:rPr>
          <w:rFonts w:hint="eastAsia" w:ascii="仿宋_GB2312" w:hAnsi="仿宋_GB2312" w:eastAsia="仿宋_GB2312" w:cs="仿宋_GB2312"/>
          <w:b w:val="0"/>
          <w:bCs w:val="0"/>
          <w:kern w:val="0"/>
          <w:sz w:val="32"/>
          <w:szCs w:val="32"/>
          <w:lang w:val="en-US" w:eastAsia="zh-CN"/>
        </w:rPr>
        <w:t>事业单位，于2020年改革为全额财政拨款</w:t>
      </w:r>
      <w:r>
        <w:rPr>
          <w:rFonts w:hint="eastAsia" w:ascii="仿宋_GB2312" w:hAnsi="仿宋_GB2312" w:eastAsia="仿宋_GB2312" w:cs="仿宋_GB2312"/>
          <w:b w:val="0"/>
          <w:bCs w:val="0"/>
          <w:kern w:val="0"/>
          <w:sz w:val="32"/>
          <w:szCs w:val="32"/>
          <w:lang w:eastAsia="zh-CN"/>
        </w:rPr>
        <w:t>公益一类事业单位，其主要职责包括：经营管理市场资产；负责市场内物业管理、市场规划、市场开发和维修；负责市场内治安、消防、卫生等日常服务；提供交易场所和服务设施，开展代储、代运、信息咨询和其他服务；收取市场设施租赁费、交易手续费提成和其他国家和省规定的有偿服务费。</w:t>
      </w:r>
    </w:p>
    <w:p w14:paraId="30FAAD95">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E5C3D0C">
      <w:pPr>
        <w:widowControl/>
        <w:spacing w:line="600" w:lineRule="exact"/>
        <w:ind w:firstLine="643" w:firstLineChars="200"/>
      </w:pPr>
      <w:r>
        <w:rPr>
          <w:rFonts w:hint="eastAsia" w:ascii="楷体_GB2312" w:hAnsi="宋体" w:eastAsia="楷体_GB2312"/>
          <w:b/>
          <w:bCs/>
          <w:kern w:val="0"/>
          <w:sz w:val="32"/>
          <w:szCs w:val="32"/>
        </w:rPr>
        <w:t>（一）内设机构设置。</w:t>
      </w:r>
      <w:r>
        <w:rPr>
          <w:rFonts w:hint="default" w:eastAsia="仿宋_GB2312"/>
          <w:sz w:val="32"/>
          <w:szCs w:val="32"/>
          <w:lang w:val="en-US" w:eastAsia="zh-CN"/>
        </w:rPr>
        <w:t>我中心</w:t>
      </w:r>
      <w:r>
        <w:rPr>
          <w:rFonts w:hint="eastAsia" w:eastAsia="仿宋_GB2312"/>
          <w:sz w:val="32"/>
          <w:szCs w:val="32"/>
          <w:lang w:eastAsia="zh-CN"/>
        </w:rPr>
        <w:t>内设三股一室，即：办公室、财务股、人事股、业务基建股；因乡镇农贸市场改造重组，202</w:t>
      </w:r>
      <w:r>
        <w:rPr>
          <w:rFonts w:hint="eastAsia" w:eastAsia="仿宋_GB2312"/>
          <w:sz w:val="32"/>
          <w:szCs w:val="32"/>
          <w:lang w:val="en-US" w:eastAsia="zh-CN"/>
        </w:rPr>
        <w:t>5</w:t>
      </w:r>
      <w:r>
        <w:rPr>
          <w:rFonts w:hint="eastAsia" w:eastAsia="仿宋_GB2312"/>
          <w:sz w:val="32"/>
          <w:szCs w:val="32"/>
          <w:lang w:eastAsia="zh-CN"/>
        </w:rPr>
        <w:t>年全县下设</w:t>
      </w:r>
      <w:r>
        <w:rPr>
          <w:rFonts w:hint="eastAsia" w:eastAsia="仿宋_GB2312"/>
          <w:sz w:val="32"/>
          <w:szCs w:val="32"/>
          <w:lang w:val="en-US" w:eastAsia="zh-CN"/>
        </w:rPr>
        <w:t>三</w:t>
      </w:r>
      <w:r>
        <w:rPr>
          <w:rFonts w:hint="eastAsia" w:eastAsia="仿宋_GB2312"/>
          <w:sz w:val="32"/>
          <w:szCs w:val="32"/>
          <w:lang w:eastAsia="zh-CN"/>
        </w:rPr>
        <w:t>个基层所，即：塔峰</w:t>
      </w:r>
      <w:r>
        <w:rPr>
          <w:rFonts w:hint="eastAsia" w:eastAsia="仿宋_GB2312"/>
          <w:sz w:val="32"/>
          <w:szCs w:val="32"/>
          <w:lang w:val="en-US" w:eastAsia="zh-CN"/>
        </w:rPr>
        <w:t>第一临时农贸市场</w:t>
      </w:r>
      <w:r>
        <w:rPr>
          <w:rFonts w:hint="eastAsia" w:eastAsia="仿宋_GB2312"/>
          <w:sz w:val="32"/>
          <w:szCs w:val="32"/>
          <w:lang w:eastAsia="zh-CN"/>
        </w:rPr>
        <w:t>管理所、</w:t>
      </w:r>
      <w:r>
        <w:rPr>
          <w:rFonts w:hint="eastAsia" w:eastAsia="仿宋_GB2312"/>
          <w:sz w:val="32"/>
          <w:szCs w:val="32"/>
          <w:lang w:val="en-US" w:eastAsia="zh-CN"/>
        </w:rPr>
        <w:t>乡镇</w:t>
      </w:r>
      <w:r>
        <w:rPr>
          <w:rFonts w:hint="eastAsia" w:eastAsia="仿宋_GB2312"/>
          <w:sz w:val="32"/>
          <w:szCs w:val="32"/>
          <w:lang w:eastAsia="zh-CN"/>
        </w:rPr>
        <w:t>市场管理所、南平路临时市场管理所。共管理全县17个国有</w:t>
      </w:r>
      <w:r>
        <w:rPr>
          <w:rFonts w:hint="eastAsia" w:eastAsia="仿宋_GB2312"/>
          <w:sz w:val="32"/>
          <w:szCs w:val="32"/>
          <w:lang w:val="en-US" w:eastAsia="zh-CN"/>
        </w:rPr>
        <w:t>集贸</w:t>
      </w:r>
      <w:r>
        <w:rPr>
          <w:rFonts w:hint="eastAsia" w:eastAsia="仿宋_GB2312"/>
          <w:sz w:val="32"/>
          <w:szCs w:val="32"/>
          <w:lang w:eastAsia="zh-CN"/>
        </w:rPr>
        <w:t>市场及县城</w:t>
      </w:r>
      <w:r>
        <w:rPr>
          <w:rFonts w:hint="eastAsia" w:eastAsia="仿宋_GB2312"/>
          <w:sz w:val="32"/>
          <w:szCs w:val="32"/>
          <w:lang w:val="en-US" w:eastAsia="zh-CN"/>
        </w:rPr>
        <w:t>南平路</w:t>
      </w:r>
      <w:r>
        <w:rPr>
          <w:rFonts w:hint="eastAsia" w:eastAsia="仿宋_GB2312"/>
          <w:sz w:val="32"/>
          <w:szCs w:val="32"/>
          <w:lang w:eastAsia="zh-CN"/>
        </w:rPr>
        <w:t>、月形岭、</w:t>
      </w:r>
      <w:r>
        <w:rPr>
          <w:rFonts w:hint="eastAsia" w:eastAsia="仿宋_GB2312"/>
          <w:sz w:val="32"/>
          <w:szCs w:val="32"/>
          <w:lang w:val="en-US" w:eastAsia="zh-CN"/>
        </w:rPr>
        <w:t>东门口等三</w:t>
      </w:r>
      <w:r>
        <w:rPr>
          <w:rFonts w:hint="eastAsia" w:eastAsia="仿宋_GB2312"/>
          <w:sz w:val="32"/>
          <w:szCs w:val="32"/>
          <w:lang w:eastAsia="zh-CN"/>
        </w:rPr>
        <w:t>处临时市场、果</w:t>
      </w:r>
      <w:r>
        <w:rPr>
          <w:rFonts w:hint="eastAsia" w:eastAsia="仿宋_GB2312"/>
          <w:sz w:val="32"/>
          <w:szCs w:val="32"/>
          <w:lang w:val="en-US" w:eastAsia="zh-CN"/>
        </w:rPr>
        <w:t>蔬</w:t>
      </w:r>
      <w:r>
        <w:rPr>
          <w:rFonts w:hint="eastAsia" w:eastAsia="仿宋_GB2312"/>
          <w:sz w:val="32"/>
          <w:szCs w:val="32"/>
          <w:lang w:eastAsia="zh-CN"/>
        </w:rPr>
        <w:t>批发市场。无下级预算机构。</w:t>
      </w:r>
    </w:p>
    <w:p w14:paraId="03102451">
      <w:pPr>
        <w:widowControl/>
        <w:spacing w:line="600" w:lineRule="exact"/>
        <w:ind w:firstLine="640" w:firstLineChars="200"/>
        <w:rPr>
          <w:rFonts w:eastAsia="仿宋_GB2312"/>
          <w:bCs/>
          <w:kern w:val="0"/>
          <w:sz w:val="32"/>
          <w:szCs w:val="32"/>
        </w:rPr>
      </w:pPr>
      <w:r>
        <w:rPr>
          <w:rFonts w:hint="eastAsia" w:ascii="仿宋_GB2312" w:hAnsi="仿宋_GB2312" w:eastAsia="仿宋_GB2312" w:cs="仿宋_GB2312"/>
          <w:sz w:val="32"/>
          <w:szCs w:val="40"/>
          <w:lang w:val="en-US" w:eastAsia="zh-CN"/>
        </w:rPr>
        <w:t>我单位2025年度应有编制68人，实有人数53人，退休人数26人。</w:t>
      </w:r>
    </w:p>
    <w:p w14:paraId="432FB825">
      <w:pPr>
        <w:widowControl/>
        <w:spacing w:line="600" w:lineRule="exact"/>
        <w:ind w:firstLine="643" w:firstLineChars="200"/>
        <w:rPr>
          <w:rFonts w:eastAsia="仿宋_GB2312"/>
          <w:bCs/>
          <w:kern w:val="0"/>
          <w:sz w:val="32"/>
          <w:szCs w:val="32"/>
        </w:rPr>
      </w:pPr>
      <w:r>
        <w:rPr>
          <w:rFonts w:hint="eastAsia" w:ascii="楷体_GB2312" w:hAnsi="宋体" w:eastAsia="楷体_GB2312"/>
          <w:b/>
          <w:bCs/>
          <w:kern w:val="0"/>
          <w:sz w:val="32"/>
          <w:szCs w:val="32"/>
        </w:rPr>
        <w:t>（二）决算单位构成。</w:t>
      </w:r>
      <w:r>
        <w:rPr>
          <w:rFonts w:hint="eastAsia" w:eastAsia="仿宋_GB2312"/>
          <w:sz w:val="32"/>
          <w:szCs w:val="32"/>
          <w:lang w:val="en-US" w:eastAsia="zh-CN"/>
        </w:rPr>
        <w:t>蓝山县市场服务中心</w:t>
      </w:r>
      <w:r>
        <w:rPr>
          <w:rFonts w:eastAsia="仿宋_GB2312"/>
          <w:bCs/>
          <w:kern w:val="0"/>
          <w:sz w:val="32"/>
          <w:szCs w:val="32"/>
        </w:rPr>
        <w:t>20</w:t>
      </w:r>
      <w:r>
        <w:rPr>
          <w:rFonts w:hint="eastAsia" w:eastAsia="仿宋_GB2312"/>
          <w:bCs/>
          <w:kern w:val="0"/>
          <w:sz w:val="32"/>
          <w:szCs w:val="32"/>
          <w:lang w:val="en-US" w:eastAsia="zh-CN"/>
        </w:rPr>
        <w:t>25</w:t>
      </w:r>
      <w:r>
        <w:rPr>
          <w:rFonts w:eastAsia="仿宋_GB2312"/>
          <w:bCs/>
          <w:kern w:val="0"/>
          <w:sz w:val="32"/>
          <w:szCs w:val="32"/>
        </w:rPr>
        <w:t>年部门决算汇总公开单位构成包括：</w:t>
      </w:r>
      <w:r>
        <w:rPr>
          <w:rFonts w:hint="eastAsia" w:eastAsia="仿宋_GB2312"/>
          <w:sz w:val="32"/>
          <w:szCs w:val="32"/>
          <w:lang w:val="en-US" w:eastAsia="zh-CN"/>
        </w:rPr>
        <w:t>蓝山县市场服务中心</w:t>
      </w:r>
      <w:r>
        <w:rPr>
          <w:rFonts w:eastAsia="仿宋_GB2312"/>
          <w:bCs/>
          <w:kern w:val="0"/>
          <w:sz w:val="32"/>
          <w:szCs w:val="32"/>
        </w:rPr>
        <w:t>本级</w:t>
      </w:r>
      <w:r>
        <w:rPr>
          <w:rFonts w:hint="eastAsia" w:eastAsia="仿宋_GB2312"/>
          <w:bCs/>
          <w:kern w:val="0"/>
          <w:sz w:val="32"/>
          <w:szCs w:val="32"/>
          <w:lang w:eastAsia="zh-CN"/>
        </w:rPr>
        <w:t>。</w:t>
      </w:r>
    </w:p>
    <w:p w14:paraId="2947F3A5">
      <w:pPr>
        <w:jc w:val="left"/>
        <w:rPr>
          <w:rFonts w:ascii="Times New Roman" w:hAnsi="Times New Roman" w:eastAsia="仿宋_GB2312" w:cs="Times New Roman"/>
          <w:sz w:val="28"/>
          <w:szCs w:val="32"/>
        </w:rPr>
      </w:pPr>
    </w:p>
    <w:p w14:paraId="5D8DFFB1">
      <w:pPr>
        <w:jc w:val="center"/>
        <w:rPr>
          <w:rFonts w:ascii="Times New Roman" w:hAnsi="Times New Roman" w:eastAsia="黑体" w:cs="Times New Roman"/>
          <w:sz w:val="28"/>
          <w:szCs w:val="28"/>
        </w:rPr>
      </w:pPr>
    </w:p>
    <w:p w14:paraId="0BEA1C94">
      <w:pPr>
        <w:pStyle w:val="14"/>
        <w:ind w:firstLine="1040" w:firstLineChars="2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r>
        <w:rPr>
          <w:rFonts w:hint="eastAsia" w:ascii="Times New Roman" w:hAnsi="Times New Roman" w:eastAsia="方正小标宋_GBK" w:cs="Times New Roman"/>
          <w:sz w:val="52"/>
          <w:szCs w:val="52"/>
          <w:lang w:val="en-US" w:eastAsia="zh-CN"/>
        </w:rPr>
        <w:t>2025年</w:t>
      </w:r>
      <w:r>
        <w:rPr>
          <w:rFonts w:ascii="Times New Roman" w:hAnsi="Times New Roman" w:eastAsia="方正小标宋_GBK" w:cs="Times New Roman"/>
          <w:sz w:val="52"/>
          <w:szCs w:val="52"/>
        </w:rPr>
        <w:t>部门决算表</w:t>
      </w:r>
    </w:p>
    <w:p w14:paraId="2CD12DB5">
      <w:pPr>
        <w:jc w:val="center"/>
        <w:rPr>
          <w:rFonts w:ascii="Times New Roman" w:hAnsi="Times New Roman" w:eastAsia="黑体" w:cs="Times New Roman"/>
          <w:sz w:val="28"/>
          <w:szCs w:val="28"/>
        </w:rPr>
      </w:pPr>
    </w:p>
    <w:p w14:paraId="596007B1">
      <w:pPr>
        <w:jc w:val="center"/>
        <w:rPr>
          <w:rFonts w:ascii="Times New Roman" w:hAnsi="Times New Roman" w:eastAsia="黑体" w:cs="Times New Roman"/>
          <w:sz w:val="28"/>
          <w:szCs w:val="28"/>
        </w:rPr>
      </w:pPr>
    </w:p>
    <w:p w14:paraId="115F17BD">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3CF8473">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7BA71C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371B06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4873"/>
        <w:gridCol w:w="719"/>
        <w:gridCol w:w="1422"/>
        <w:gridCol w:w="5289"/>
        <w:gridCol w:w="926"/>
        <w:gridCol w:w="1667"/>
      </w:tblGrid>
      <w:tr w14:paraId="719D7158">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430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174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5E0BED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B2C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82FD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EF59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D547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3998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CF4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BCE40B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2DC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9464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993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9B1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94B81">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1D6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E6F1D1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4D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5A1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D83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1120.00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1EB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E31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01E3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1103.84</w:t>
            </w:r>
          </w:p>
        </w:tc>
      </w:tr>
      <w:tr w14:paraId="5988C0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CB9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CE4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66F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841.56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51A2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57C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67B1">
            <w:pPr>
              <w:jc w:val="right"/>
              <w:rPr>
                <w:rFonts w:ascii="Times New Roman" w:hAnsi="Times New Roman" w:eastAsia="仿宋_GB2312" w:cs="Times New Roman"/>
                <w:color w:val="000000"/>
                <w:sz w:val="22"/>
              </w:rPr>
            </w:pPr>
          </w:p>
        </w:tc>
      </w:tr>
      <w:tr w14:paraId="1148C27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62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CF7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B50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E74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B23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BEA4A">
            <w:pPr>
              <w:jc w:val="right"/>
              <w:rPr>
                <w:rFonts w:ascii="Times New Roman" w:hAnsi="Times New Roman" w:eastAsia="仿宋_GB2312" w:cs="Times New Roman"/>
                <w:color w:val="000000"/>
                <w:sz w:val="22"/>
              </w:rPr>
            </w:pPr>
          </w:p>
        </w:tc>
      </w:tr>
      <w:tr w14:paraId="494EBC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CD1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321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CE7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E5E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2DB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B918D">
            <w:pPr>
              <w:jc w:val="right"/>
              <w:rPr>
                <w:rFonts w:ascii="Times New Roman" w:hAnsi="Times New Roman" w:eastAsia="仿宋_GB2312" w:cs="Times New Roman"/>
                <w:color w:val="000000"/>
                <w:sz w:val="22"/>
              </w:rPr>
            </w:pPr>
          </w:p>
        </w:tc>
      </w:tr>
      <w:tr w14:paraId="329DCCB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9D4A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1A2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BF0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16C1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1BC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E179">
            <w:pPr>
              <w:jc w:val="right"/>
              <w:rPr>
                <w:rFonts w:ascii="Times New Roman" w:hAnsi="Times New Roman" w:eastAsia="仿宋_GB2312" w:cs="Times New Roman"/>
                <w:color w:val="000000"/>
                <w:sz w:val="22"/>
              </w:rPr>
            </w:pPr>
          </w:p>
        </w:tc>
      </w:tr>
      <w:tr w14:paraId="01C580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C6A5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AB1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582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7AB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F3B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6CC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16.16</w:t>
            </w:r>
          </w:p>
        </w:tc>
      </w:tr>
      <w:tr w14:paraId="55A6A3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AAE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90B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754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C0B7">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bidi="ar"/>
              </w:rPr>
              <w:t>七、城乡社区支出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F20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BDF4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841.56</w:t>
            </w:r>
          </w:p>
        </w:tc>
      </w:tr>
      <w:tr w14:paraId="1C7B87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9A4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5CF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09351">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14CAF">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9F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C0F8">
            <w:pPr>
              <w:jc w:val="center"/>
              <w:rPr>
                <w:rFonts w:ascii="Times New Roman" w:hAnsi="Times New Roman" w:eastAsia="仿宋_GB2312" w:cs="Times New Roman"/>
                <w:color w:val="000000"/>
                <w:sz w:val="22"/>
              </w:rPr>
            </w:pPr>
          </w:p>
        </w:tc>
      </w:tr>
      <w:tr w14:paraId="44D7C72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D1C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D95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8906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3C85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762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E1DF">
            <w:pPr>
              <w:rPr>
                <w:rFonts w:ascii="Times New Roman" w:hAnsi="Times New Roman" w:eastAsia="仿宋_GB2312" w:cs="Times New Roman"/>
                <w:b/>
                <w:color w:val="000000"/>
                <w:sz w:val="22"/>
              </w:rPr>
            </w:pPr>
          </w:p>
        </w:tc>
      </w:tr>
      <w:tr w14:paraId="0EA83B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3426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20C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CD80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1961.56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DFB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A92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626C">
            <w:pPr>
              <w:rPr>
                <w:rFonts w:ascii="Times New Roman" w:hAnsi="Times New Roman" w:eastAsia="仿宋_GB2312" w:cs="Times New Roman"/>
                <w:color w:val="000000"/>
                <w:sz w:val="22"/>
              </w:rPr>
            </w:pPr>
          </w:p>
        </w:tc>
      </w:tr>
      <w:tr w14:paraId="329EC8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CFF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62F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2F9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CF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3EB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4CAEF">
            <w:pPr>
              <w:rPr>
                <w:rFonts w:ascii="Times New Roman" w:hAnsi="Times New Roman" w:eastAsia="仿宋_GB2312" w:cs="Times New Roman"/>
                <w:color w:val="000000"/>
                <w:sz w:val="22"/>
              </w:rPr>
            </w:pPr>
          </w:p>
        </w:tc>
      </w:tr>
      <w:tr w14:paraId="3C117F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06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506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BE5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30F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B6B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2783">
            <w:pPr>
              <w:rPr>
                <w:rFonts w:ascii="Times New Roman" w:hAnsi="Times New Roman" w:eastAsia="仿宋_GB2312" w:cs="Times New Roman"/>
                <w:color w:val="000000"/>
                <w:sz w:val="22"/>
              </w:rPr>
            </w:pPr>
          </w:p>
        </w:tc>
      </w:tr>
      <w:tr w14:paraId="1BC1B17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0CA4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3A2D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5AA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1961.56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878B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C96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7FCF">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1961.56</w:t>
            </w:r>
          </w:p>
        </w:tc>
      </w:tr>
    </w:tbl>
    <w:p w14:paraId="798AB051">
      <w:pPr>
        <w:widowControl/>
        <w:jc w:val="left"/>
        <w:textAlignment w:val="center"/>
        <w:rPr>
          <w:rFonts w:ascii="Times New Roman" w:hAnsi="Times New Roman" w:eastAsia="宋体" w:cs="Times New Roman"/>
          <w:color w:val="000000"/>
          <w:kern w:val="0"/>
          <w:sz w:val="24"/>
          <w:szCs w:val="24"/>
          <w:lang w:bidi="ar"/>
        </w:rPr>
      </w:pPr>
    </w:p>
    <w:p w14:paraId="376D96E5">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D42C89F">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50BA24F">
      <w:pPr>
        <w:widowControl/>
        <w:spacing w:after="156" w:afterLines="50"/>
        <w:ind w:firstLine="5760" w:firstLineChars="1600"/>
        <w:jc w:val="both"/>
        <w:textAlignment w:val="center"/>
        <w:rPr>
          <w:rFonts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eastAsia="zh-CN" w:bidi="ar"/>
        </w:rPr>
        <w:t>部门</w:t>
      </w:r>
      <w:r>
        <w:rPr>
          <w:rFonts w:ascii="Times New Roman" w:hAnsi="Times New Roman" w:eastAsia="黑体" w:cs="Times New Roman"/>
          <w:color w:val="000000"/>
          <w:kern w:val="0"/>
          <w:sz w:val="36"/>
          <w:szCs w:val="36"/>
          <w:lang w:bidi="ar"/>
        </w:rPr>
        <w:t>收入决算表</w:t>
      </w:r>
    </w:p>
    <w:p w14:paraId="309CF172">
      <w:pPr>
        <w:tabs>
          <w:tab w:val="left" w:pos="315"/>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752A24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2562" w:type="dxa"/>
        <w:jc w:val="center"/>
        <w:tblLayout w:type="fixed"/>
        <w:tblCellMar>
          <w:top w:w="0" w:type="dxa"/>
          <w:left w:w="0" w:type="dxa"/>
          <w:bottom w:w="0" w:type="dxa"/>
          <w:right w:w="0" w:type="dxa"/>
        </w:tblCellMar>
      </w:tblPr>
      <w:tblGrid>
        <w:gridCol w:w="2206"/>
        <w:gridCol w:w="3524"/>
        <w:gridCol w:w="1347"/>
        <w:gridCol w:w="990"/>
        <w:gridCol w:w="735"/>
        <w:gridCol w:w="975"/>
        <w:gridCol w:w="765"/>
        <w:gridCol w:w="990"/>
        <w:gridCol w:w="1030"/>
      </w:tblGrid>
      <w:tr w14:paraId="02DC92F9">
        <w:tblPrEx>
          <w:tblCellMar>
            <w:top w:w="0" w:type="dxa"/>
            <w:left w:w="0" w:type="dxa"/>
            <w:bottom w:w="0" w:type="dxa"/>
            <w:right w:w="0" w:type="dxa"/>
          </w:tblCellMar>
        </w:tblPrEx>
        <w:trPr>
          <w:trHeight w:val="298" w:hRule="atLeast"/>
          <w:jc w:val="center"/>
        </w:trPr>
        <w:tc>
          <w:tcPr>
            <w:tcW w:w="573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1FF3E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5E2BA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99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A4B57C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7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56B72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9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BEC5E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7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1958B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9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FBC63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1C64E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6963C5B">
        <w:tblPrEx>
          <w:tblCellMar>
            <w:top w:w="0" w:type="dxa"/>
            <w:left w:w="0" w:type="dxa"/>
            <w:bottom w:w="0" w:type="dxa"/>
            <w:right w:w="0" w:type="dxa"/>
          </w:tblCellMar>
        </w:tblPrEx>
        <w:trPr>
          <w:trHeight w:val="312" w:hRule="exact"/>
          <w:jc w:val="center"/>
        </w:trPr>
        <w:tc>
          <w:tcPr>
            <w:tcW w:w="22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A3B4E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2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28687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47" w:type="dxa"/>
            <w:vMerge w:val="continue"/>
            <w:tcBorders>
              <w:top w:val="single" w:color="auto" w:sz="4" w:space="0"/>
              <w:left w:val="single" w:color="auto" w:sz="4" w:space="0"/>
              <w:bottom w:val="single" w:color="auto" w:sz="4" w:space="0"/>
              <w:right w:val="single" w:color="auto" w:sz="4" w:space="0"/>
            </w:tcBorders>
            <w:vAlign w:val="center"/>
          </w:tcPr>
          <w:p w14:paraId="5B86FB24">
            <w:pPr>
              <w:rPr>
                <w:rFonts w:ascii="Times New Roman" w:hAnsi="Times New Roman" w:eastAsia="仿宋_GB2312" w:cs="Times New Roman"/>
                <w:sz w:val="24"/>
                <w:szCs w:val="24"/>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14:paraId="3F507E4E">
            <w:pPr>
              <w:rPr>
                <w:rFonts w:ascii="Times New Roman" w:hAnsi="Times New Roman" w:eastAsia="仿宋_GB2312" w:cs="Times New Roman"/>
                <w:sz w:val="24"/>
                <w:szCs w:val="24"/>
              </w:rPr>
            </w:pPr>
          </w:p>
        </w:tc>
        <w:tc>
          <w:tcPr>
            <w:tcW w:w="735" w:type="dxa"/>
            <w:vMerge w:val="continue"/>
            <w:tcBorders>
              <w:top w:val="single" w:color="auto" w:sz="4" w:space="0"/>
              <w:left w:val="single" w:color="auto" w:sz="4" w:space="0"/>
              <w:bottom w:val="single" w:color="auto" w:sz="4" w:space="0"/>
              <w:right w:val="single" w:color="auto" w:sz="4" w:space="0"/>
            </w:tcBorders>
            <w:vAlign w:val="center"/>
          </w:tcPr>
          <w:p w14:paraId="4314368D">
            <w:pPr>
              <w:rPr>
                <w:rFonts w:ascii="Times New Roman" w:hAnsi="Times New Roman" w:eastAsia="仿宋_GB2312" w:cs="Times New Roman"/>
                <w:sz w:val="24"/>
                <w:szCs w:val="24"/>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14:paraId="4D15EE5E">
            <w:pPr>
              <w:rPr>
                <w:rFonts w:ascii="Times New Roman" w:hAnsi="Times New Roman" w:eastAsia="仿宋_GB2312" w:cs="Times New Roman"/>
                <w:sz w:val="24"/>
                <w:szCs w:val="24"/>
              </w:rPr>
            </w:pPr>
          </w:p>
        </w:tc>
        <w:tc>
          <w:tcPr>
            <w:tcW w:w="765" w:type="dxa"/>
            <w:vMerge w:val="continue"/>
            <w:tcBorders>
              <w:top w:val="single" w:color="auto" w:sz="4" w:space="0"/>
              <w:left w:val="single" w:color="auto" w:sz="4" w:space="0"/>
              <w:bottom w:val="single" w:color="auto" w:sz="4" w:space="0"/>
              <w:right w:val="single" w:color="auto" w:sz="4" w:space="0"/>
            </w:tcBorders>
            <w:vAlign w:val="center"/>
          </w:tcPr>
          <w:p w14:paraId="456B134B">
            <w:pPr>
              <w:rPr>
                <w:rFonts w:ascii="Times New Roman" w:hAnsi="Times New Roman" w:eastAsia="仿宋_GB2312" w:cs="Times New Roman"/>
                <w:sz w:val="24"/>
                <w:szCs w:val="24"/>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14:paraId="68ED794D">
            <w:pPr>
              <w:rPr>
                <w:rFonts w:ascii="Times New Roman" w:hAnsi="Times New Roman" w:eastAsia="仿宋_GB2312" w:cs="Times New Roman"/>
                <w:sz w:val="24"/>
                <w:szCs w:val="24"/>
              </w:rPr>
            </w:pP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680E7B20">
            <w:pPr>
              <w:rPr>
                <w:rFonts w:ascii="Times New Roman" w:hAnsi="Times New Roman" w:eastAsia="仿宋_GB2312" w:cs="Times New Roman"/>
                <w:sz w:val="24"/>
                <w:szCs w:val="24"/>
              </w:rPr>
            </w:pPr>
          </w:p>
        </w:tc>
      </w:tr>
      <w:tr w14:paraId="0E796DC8">
        <w:tblPrEx>
          <w:tblCellMar>
            <w:top w:w="0" w:type="dxa"/>
            <w:left w:w="0" w:type="dxa"/>
            <w:bottom w:w="0" w:type="dxa"/>
            <w:right w:w="0" w:type="dxa"/>
          </w:tblCellMar>
        </w:tblPrEx>
        <w:trPr>
          <w:trHeight w:val="312" w:hRule="atLeast"/>
          <w:jc w:val="center"/>
        </w:trPr>
        <w:tc>
          <w:tcPr>
            <w:tcW w:w="2206" w:type="dxa"/>
            <w:vMerge w:val="continue"/>
            <w:tcBorders>
              <w:top w:val="single" w:color="auto" w:sz="4" w:space="0"/>
              <w:left w:val="single" w:color="auto" w:sz="4" w:space="0"/>
              <w:bottom w:val="single" w:color="auto" w:sz="4" w:space="0"/>
              <w:right w:val="single" w:color="auto" w:sz="4" w:space="0"/>
            </w:tcBorders>
            <w:vAlign w:val="center"/>
          </w:tcPr>
          <w:p w14:paraId="0788F164">
            <w:pPr>
              <w:rPr>
                <w:rFonts w:ascii="Times New Roman" w:hAnsi="Times New Roman" w:eastAsia="仿宋_GB2312" w:cs="Times New Roman"/>
                <w:sz w:val="24"/>
                <w:szCs w:val="24"/>
              </w:rPr>
            </w:pPr>
          </w:p>
        </w:tc>
        <w:tc>
          <w:tcPr>
            <w:tcW w:w="3524" w:type="dxa"/>
            <w:vMerge w:val="continue"/>
            <w:tcBorders>
              <w:top w:val="nil"/>
              <w:left w:val="single" w:color="auto" w:sz="4" w:space="0"/>
              <w:bottom w:val="single" w:color="auto" w:sz="4" w:space="0"/>
              <w:right w:val="single" w:color="auto" w:sz="4" w:space="0"/>
            </w:tcBorders>
            <w:vAlign w:val="center"/>
          </w:tcPr>
          <w:p w14:paraId="19DF4B43">
            <w:pPr>
              <w:rPr>
                <w:rFonts w:ascii="Times New Roman" w:hAnsi="Times New Roman" w:eastAsia="仿宋_GB2312" w:cs="Times New Roman"/>
                <w:sz w:val="24"/>
                <w:szCs w:val="24"/>
              </w:rPr>
            </w:pPr>
          </w:p>
        </w:tc>
        <w:tc>
          <w:tcPr>
            <w:tcW w:w="1347" w:type="dxa"/>
            <w:vMerge w:val="continue"/>
            <w:tcBorders>
              <w:top w:val="single" w:color="auto" w:sz="4" w:space="0"/>
              <w:left w:val="single" w:color="auto" w:sz="4" w:space="0"/>
              <w:bottom w:val="single" w:color="auto" w:sz="4" w:space="0"/>
              <w:right w:val="single" w:color="auto" w:sz="4" w:space="0"/>
            </w:tcBorders>
            <w:vAlign w:val="center"/>
          </w:tcPr>
          <w:p w14:paraId="4F6193A0">
            <w:pPr>
              <w:rPr>
                <w:rFonts w:ascii="Times New Roman" w:hAnsi="Times New Roman" w:eastAsia="仿宋_GB2312" w:cs="Times New Roman"/>
                <w:sz w:val="24"/>
                <w:szCs w:val="24"/>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14:paraId="5EEDB9E3">
            <w:pPr>
              <w:rPr>
                <w:rFonts w:ascii="Times New Roman" w:hAnsi="Times New Roman" w:eastAsia="仿宋_GB2312" w:cs="Times New Roman"/>
                <w:sz w:val="24"/>
                <w:szCs w:val="24"/>
              </w:rPr>
            </w:pPr>
          </w:p>
        </w:tc>
        <w:tc>
          <w:tcPr>
            <w:tcW w:w="735" w:type="dxa"/>
            <w:vMerge w:val="continue"/>
            <w:tcBorders>
              <w:top w:val="single" w:color="auto" w:sz="4" w:space="0"/>
              <w:left w:val="single" w:color="auto" w:sz="4" w:space="0"/>
              <w:bottom w:val="single" w:color="auto" w:sz="4" w:space="0"/>
              <w:right w:val="single" w:color="auto" w:sz="4" w:space="0"/>
            </w:tcBorders>
            <w:vAlign w:val="center"/>
          </w:tcPr>
          <w:p w14:paraId="5EB22ED6">
            <w:pPr>
              <w:rPr>
                <w:rFonts w:ascii="Times New Roman" w:hAnsi="Times New Roman" w:eastAsia="仿宋_GB2312" w:cs="Times New Roman"/>
                <w:sz w:val="24"/>
                <w:szCs w:val="24"/>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14:paraId="375AAB38">
            <w:pPr>
              <w:rPr>
                <w:rFonts w:ascii="Times New Roman" w:hAnsi="Times New Roman" w:eastAsia="仿宋_GB2312" w:cs="Times New Roman"/>
                <w:sz w:val="24"/>
                <w:szCs w:val="24"/>
              </w:rPr>
            </w:pPr>
          </w:p>
        </w:tc>
        <w:tc>
          <w:tcPr>
            <w:tcW w:w="765" w:type="dxa"/>
            <w:vMerge w:val="continue"/>
            <w:tcBorders>
              <w:top w:val="single" w:color="auto" w:sz="4" w:space="0"/>
              <w:left w:val="single" w:color="auto" w:sz="4" w:space="0"/>
              <w:bottom w:val="single" w:color="auto" w:sz="4" w:space="0"/>
              <w:right w:val="single" w:color="auto" w:sz="4" w:space="0"/>
            </w:tcBorders>
            <w:vAlign w:val="center"/>
          </w:tcPr>
          <w:p w14:paraId="78E6041E">
            <w:pPr>
              <w:rPr>
                <w:rFonts w:ascii="Times New Roman" w:hAnsi="Times New Roman" w:eastAsia="仿宋_GB2312" w:cs="Times New Roman"/>
                <w:sz w:val="24"/>
                <w:szCs w:val="24"/>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14:paraId="34703260">
            <w:pPr>
              <w:rPr>
                <w:rFonts w:ascii="Times New Roman" w:hAnsi="Times New Roman" w:eastAsia="仿宋_GB2312" w:cs="Times New Roman"/>
                <w:sz w:val="24"/>
                <w:szCs w:val="24"/>
              </w:rPr>
            </w:pPr>
          </w:p>
        </w:tc>
        <w:tc>
          <w:tcPr>
            <w:tcW w:w="1030" w:type="dxa"/>
            <w:vMerge w:val="continue"/>
            <w:tcBorders>
              <w:top w:val="single" w:color="auto" w:sz="4" w:space="0"/>
              <w:left w:val="single" w:color="auto" w:sz="4" w:space="0"/>
              <w:bottom w:val="single" w:color="auto" w:sz="4" w:space="0"/>
              <w:right w:val="single" w:color="auto" w:sz="4" w:space="0"/>
            </w:tcBorders>
            <w:vAlign w:val="center"/>
          </w:tcPr>
          <w:p w14:paraId="6B9BF0CB">
            <w:pPr>
              <w:rPr>
                <w:rFonts w:ascii="Times New Roman" w:hAnsi="Times New Roman" w:eastAsia="仿宋_GB2312" w:cs="Times New Roman"/>
                <w:sz w:val="24"/>
                <w:szCs w:val="24"/>
              </w:rPr>
            </w:pPr>
          </w:p>
        </w:tc>
      </w:tr>
      <w:tr w14:paraId="07A3837B">
        <w:tblPrEx>
          <w:tblCellMar>
            <w:top w:w="0" w:type="dxa"/>
            <w:left w:w="0" w:type="dxa"/>
            <w:bottom w:w="0" w:type="dxa"/>
            <w:right w:w="0" w:type="dxa"/>
          </w:tblCellMar>
        </w:tblPrEx>
        <w:trPr>
          <w:trHeight w:val="298" w:hRule="atLeast"/>
          <w:jc w:val="center"/>
        </w:trPr>
        <w:tc>
          <w:tcPr>
            <w:tcW w:w="57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4CEAF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425271">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9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B8BE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7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5DE5C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9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438698">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CD3E61">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9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1F923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41876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42F733A">
        <w:tblPrEx>
          <w:tblCellMar>
            <w:top w:w="0" w:type="dxa"/>
            <w:left w:w="0" w:type="dxa"/>
            <w:bottom w:w="0" w:type="dxa"/>
            <w:right w:w="0" w:type="dxa"/>
          </w:tblCellMar>
        </w:tblPrEx>
        <w:trPr>
          <w:trHeight w:val="298" w:hRule="atLeast"/>
          <w:jc w:val="center"/>
        </w:trPr>
        <w:tc>
          <w:tcPr>
            <w:tcW w:w="57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78BC89">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5F8AA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1961.56</w:t>
            </w: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35FB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1961.56</w:t>
            </w:r>
            <w:r>
              <w:rPr>
                <w:rFonts w:ascii="Times New Roman" w:hAnsi="Times New Roman" w:eastAsia="仿宋_GB2312" w:cs="Times New Roman"/>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441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CBC4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C504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953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FEFB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5368288">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D7F106">
            <w:pPr>
              <w:jc w:val="left"/>
              <w:rPr>
                <w:rFonts w:ascii="Times New Roman" w:hAnsi="Times New Roman" w:eastAsia="仿宋_GB2312" w:cs="Times New Roman"/>
                <w:sz w:val="24"/>
                <w:szCs w:val="24"/>
              </w:rPr>
            </w:pPr>
            <w:r>
              <w:rPr>
                <w:rFonts w:hint="eastAsia" w:ascii="Times New Roman" w:hAnsi="Times New Roman" w:eastAsia="仿宋_GB2312" w:cs="Times New Roman"/>
              </w:rPr>
              <w:t>201</w:t>
            </w:r>
          </w:p>
        </w:tc>
        <w:tc>
          <w:tcPr>
            <w:tcW w:w="352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7BAE17">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13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03282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1103.84</w:t>
            </w: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B347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1103.84</w:t>
            </w:r>
            <w:r>
              <w:rPr>
                <w:rFonts w:ascii="Times New Roman" w:hAnsi="Times New Roman" w:eastAsia="仿宋_GB2312" w:cs="Times New Roman"/>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3DE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E49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4F47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C63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FE97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147D0CE">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2A82C8">
            <w:pPr>
              <w:jc w:val="left"/>
              <w:rPr>
                <w:rFonts w:ascii="Times New Roman" w:hAnsi="Times New Roman" w:eastAsia="仿宋_GB2312" w:cs="Times New Roman"/>
                <w:sz w:val="24"/>
                <w:szCs w:val="24"/>
              </w:rPr>
            </w:pPr>
            <w:r>
              <w:rPr>
                <w:rFonts w:hint="eastAsia" w:ascii="Times New Roman" w:hAnsi="Times New Roman" w:eastAsia="仿宋_GB2312" w:cs="Times New Roman"/>
              </w:rPr>
              <w:t>20138</w:t>
            </w:r>
          </w:p>
        </w:tc>
        <w:tc>
          <w:tcPr>
            <w:tcW w:w="352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1E0759">
            <w:pPr>
              <w:rPr>
                <w:rFonts w:ascii="Times New Roman" w:hAnsi="Times New Roman" w:eastAsia="仿宋_GB2312" w:cs="Times New Roman"/>
                <w:sz w:val="24"/>
                <w:szCs w:val="24"/>
              </w:rPr>
            </w:pPr>
            <w:r>
              <w:rPr>
                <w:rFonts w:hint="eastAsia" w:ascii="Times New Roman" w:hAnsi="Times New Roman" w:eastAsia="仿宋_GB2312" w:cs="Times New Roman"/>
              </w:rPr>
              <w:t>市场监督管理事务</w:t>
            </w:r>
          </w:p>
        </w:tc>
        <w:tc>
          <w:tcPr>
            <w:tcW w:w="13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D648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1101.84</w:t>
            </w: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D7C63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1101.84</w:t>
            </w:r>
            <w:r>
              <w:rPr>
                <w:rFonts w:ascii="Times New Roman" w:hAnsi="Times New Roman" w:eastAsia="仿宋_GB2312" w:cs="Times New Roman"/>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34F6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3A294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A82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E41A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C72F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045DABE">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5E4016">
            <w:pPr>
              <w:jc w:val="left"/>
              <w:rPr>
                <w:rFonts w:ascii="Times New Roman" w:hAnsi="Times New Roman" w:eastAsia="仿宋_GB2312" w:cs="Times New Roman"/>
                <w:sz w:val="24"/>
                <w:szCs w:val="24"/>
              </w:rPr>
            </w:pPr>
            <w:r>
              <w:rPr>
                <w:rFonts w:hint="eastAsia" w:ascii="Times New Roman" w:hAnsi="Times New Roman" w:eastAsia="仿宋_GB2312" w:cs="Times New Roman"/>
              </w:rPr>
              <w:t>2013850</w:t>
            </w:r>
          </w:p>
        </w:tc>
        <w:tc>
          <w:tcPr>
            <w:tcW w:w="352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A95998">
            <w:pPr>
              <w:rPr>
                <w:rFonts w:ascii="Times New Roman" w:hAnsi="Times New Roman" w:eastAsia="仿宋_GB2312" w:cs="Times New Roman"/>
                <w:sz w:val="24"/>
                <w:szCs w:val="24"/>
              </w:rPr>
            </w:pPr>
            <w:r>
              <w:rPr>
                <w:rFonts w:hint="eastAsia" w:ascii="Times New Roman" w:hAnsi="Times New Roman" w:eastAsia="仿宋_GB2312" w:cs="Times New Roman"/>
              </w:rPr>
              <w:t>事业运行</w:t>
            </w:r>
          </w:p>
        </w:tc>
        <w:tc>
          <w:tcPr>
            <w:tcW w:w="13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5873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1101.84</w:t>
            </w: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4032A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1101.84</w:t>
            </w:r>
            <w:r>
              <w:rPr>
                <w:rFonts w:ascii="Times New Roman" w:hAnsi="Times New Roman" w:eastAsia="仿宋_GB2312" w:cs="Times New Roman"/>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6E78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5EE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B75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8E8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7C4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02B247C">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356626">
            <w:pPr>
              <w:jc w:val="left"/>
              <w:rPr>
                <w:rFonts w:ascii="Times New Roman" w:hAnsi="Times New Roman" w:eastAsia="仿宋_GB2312" w:cs="Times New Roman"/>
                <w:sz w:val="24"/>
                <w:szCs w:val="24"/>
              </w:rPr>
            </w:pPr>
            <w:r>
              <w:rPr>
                <w:rFonts w:hint="eastAsia" w:ascii="Times New Roman" w:hAnsi="Times New Roman" w:eastAsia="仿宋_GB2312" w:cs="Times New Roman"/>
              </w:rPr>
              <w:t>20199</w:t>
            </w:r>
          </w:p>
        </w:tc>
        <w:tc>
          <w:tcPr>
            <w:tcW w:w="352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9D87B1">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3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9A8C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FDE57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r>
              <w:rPr>
                <w:rFonts w:ascii="Times New Roman" w:hAnsi="Times New Roman" w:eastAsia="仿宋_GB2312" w:cs="Times New Roman"/>
              </w:rPr>
              <w:t>　</w:t>
            </w:r>
          </w:p>
        </w:tc>
        <w:tc>
          <w:tcPr>
            <w:tcW w:w="7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85D0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1CC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B700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B333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3B21B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BCA6DF6">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96DAE0">
            <w:pPr>
              <w:jc w:val="left"/>
              <w:rPr>
                <w:rFonts w:ascii="Times New Roman" w:hAnsi="Times New Roman" w:eastAsia="仿宋_GB2312" w:cs="Times New Roman"/>
                <w:sz w:val="24"/>
                <w:szCs w:val="24"/>
              </w:rPr>
            </w:pPr>
            <w:r>
              <w:rPr>
                <w:rFonts w:hint="eastAsia" w:ascii="Times New Roman" w:hAnsi="Times New Roman" w:eastAsia="仿宋_GB2312" w:cs="Times New Roman"/>
              </w:rPr>
              <w:t>2019999</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107D41">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0B566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r>
              <w:rPr>
                <w:rFonts w:ascii="Times New Roman" w:hAnsi="Times New Roman" w:eastAsia="仿宋_GB2312" w:cs="Times New Roman"/>
              </w:rPr>
              <w:t>　</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55645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r>
              <w:rPr>
                <w:rFonts w:ascii="Times New Roman" w:hAnsi="Times New Roman" w:eastAsia="仿宋_GB2312" w:cs="Times New Roman"/>
              </w:rPr>
              <w:t>　</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9F0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7316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7DBC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35C9A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C499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5DE0671">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97F7C6">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975F1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社会保障和就业支出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DE904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16.16</w:t>
            </w:r>
            <w:r>
              <w:rPr>
                <w:rFonts w:ascii="Times New Roman" w:hAnsi="Times New Roman" w:eastAsia="仿宋_GB2312" w:cs="Times New Roman"/>
              </w:rPr>
              <w:t>　</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5441F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16.16</w:t>
            </w:r>
            <w:r>
              <w:rPr>
                <w:rFonts w:ascii="Times New Roman" w:hAnsi="Times New Roman" w:eastAsia="仿宋_GB2312" w:cs="Times New Roman"/>
              </w:rPr>
              <w:t>　</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DD1DE9">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7E3D9E">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595FEC">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793140">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CCF1AA">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7C472B6B">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74B3A">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D1942C">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行政事业单位养老支出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80616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12.96</w:t>
            </w:r>
            <w:r>
              <w:rPr>
                <w:rFonts w:ascii="Times New Roman" w:hAnsi="Times New Roman" w:eastAsia="仿宋_GB2312" w:cs="Times New Roman"/>
              </w:rPr>
              <w:t>　</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14BB0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12.96</w:t>
            </w:r>
            <w:r>
              <w:rPr>
                <w:rFonts w:ascii="Times New Roman" w:hAnsi="Times New Roman" w:eastAsia="仿宋_GB2312" w:cs="Times New Roman"/>
              </w:rPr>
              <w:t>　</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D9D586">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E56E5A">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FE57D8">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49B7AB">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6264E2">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7C645294">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E7B1DE">
            <w:pPr>
              <w:jc w:val="left"/>
              <w:rPr>
                <w:rFonts w:ascii="Times New Roman" w:hAnsi="Times New Roman" w:eastAsia="仿宋_GB2312" w:cs="Times New Roman"/>
              </w:rPr>
            </w:pPr>
            <w:r>
              <w:rPr>
                <w:rFonts w:hint="eastAsia" w:ascii="Times New Roman" w:hAnsi="Times New Roman" w:eastAsia="仿宋_GB2312" w:cs="Times New Roman"/>
              </w:rPr>
              <w:t>2080502</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CAF9CD">
            <w:pPr>
              <w:rPr>
                <w:rFonts w:ascii="Times New Roman" w:hAnsi="Times New Roman" w:eastAsia="仿宋_GB2312" w:cs="Times New Roman"/>
              </w:rPr>
            </w:pPr>
            <w:r>
              <w:rPr>
                <w:rFonts w:hint="eastAsia" w:ascii="Times New Roman" w:hAnsi="Times New Roman" w:eastAsia="仿宋_GB2312" w:cs="Times New Roman"/>
              </w:rPr>
              <w:t>事业单位离退休</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96948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11.70</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6FF61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11.70</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151B96">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4125C1">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50AC98">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D9DB31">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427301">
            <w:pPr>
              <w:jc w:val="right"/>
              <w:rPr>
                <w:rFonts w:ascii="Times New Roman" w:hAnsi="Times New Roman" w:eastAsia="仿宋_GB2312" w:cs="Times New Roman"/>
              </w:rPr>
            </w:pPr>
          </w:p>
        </w:tc>
      </w:tr>
      <w:tr w14:paraId="1A1C5EB0">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B39B6B">
            <w:pPr>
              <w:jc w:val="left"/>
              <w:rPr>
                <w:rFonts w:ascii="Times New Roman" w:hAnsi="Times New Roman" w:eastAsia="仿宋_GB2312" w:cs="Times New Roman"/>
              </w:rPr>
            </w:pPr>
            <w:r>
              <w:rPr>
                <w:rFonts w:hint="eastAsia" w:ascii="Times New Roman" w:hAnsi="Times New Roman" w:eastAsia="仿宋_GB2312" w:cs="Times New Roman"/>
              </w:rPr>
              <w:t>2080505</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4A059F">
            <w:pP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1F5A1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84394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CE0CE6">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8D053F">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8A6AD2">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52DAE8">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70CD25">
            <w:pPr>
              <w:jc w:val="right"/>
              <w:rPr>
                <w:rFonts w:ascii="Times New Roman" w:hAnsi="Times New Roman" w:eastAsia="仿宋_GB2312" w:cs="Times New Roman"/>
              </w:rPr>
            </w:pPr>
          </w:p>
        </w:tc>
      </w:tr>
      <w:tr w14:paraId="4DE08B51">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17C7FC">
            <w:pPr>
              <w:jc w:val="left"/>
              <w:rPr>
                <w:rFonts w:ascii="Times New Roman" w:hAnsi="Times New Roman" w:eastAsia="仿宋_GB2312" w:cs="Times New Roman"/>
              </w:rPr>
            </w:pPr>
            <w:r>
              <w:rPr>
                <w:rFonts w:hint="eastAsia" w:ascii="Times New Roman" w:hAnsi="Times New Roman" w:eastAsia="仿宋_GB2312" w:cs="Times New Roman"/>
              </w:rPr>
              <w:t>20808</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81FA5">
            <w:pPr>
              <w:rPr>
                <w:rFonts w:ascii="Times New Roman" w:hAnsi="Times New Roman" w:eastAsia="仿宋_GB2312" w:cs="Times New Roman"/>
              </w:rPr>
            </w:pPr>
            <w:r>
              <w:rPr>
                <w:rFonts w:hint="eastAsia" w:ascii="Times New Roman" w:hAnsi="Times New Roman" w:eastAsia="仿宋_GB2312" w:cs="Times New Roman"/>
              </w:rPr>
              <w:t>抚恤</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68FCB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2.18</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31BCD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2.18</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E9C8F8">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495069">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655604">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C1746F">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B92440">
            <w:pPr>
              <w:jc w:val="right"/>
              <w:rPr>
                <w:rFonts w:ascii="Times New Roman" w:hAnsi="Times New Roman" w:eastAsia="仿宋_GB2312" w:cs="Times New Roman"/>
              </w:rPr>
            </w:pPr>
          </w:p>
        </w:tc>
      </w:tr>
      <w:tr w14:paraId="33440897">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A41C7C">
            <w:pPr>
              <w:jc w:val="left"/>
              <w:rPr>
                <w:rFonts w:ascii="Times New Roman" w:hAnsi="Times New Roman" w:eastAsia="仿宋_GB2312" w:cs="Times New Roman"/>
              </w:rPr>
            </w:pPr>
            <w:r>
              <w:rPr>
                <w:rFonts w:hint="eastAsia" w:ascii="Times New Roman" w:hAnsi="Times New Roman" w:eastAsia="仿宋_GB2312" w:cs="Times New Roman"/>
              </w:rPr>
              <w:t>2080801</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D8BA7">
            <w:pPr>
              <w:rPr>
                <w:rFonts w:ascii="Times New Roman" w:hAnsi="Times New Roman" w:eastAsia="仿宋_GB2312" w:cs="Times New Roman"/>
              </w:rPr>
            </w:pPr>
            <w:r>
              <w:rPr>
                <w:rFonts w:hint="eastAsia" w:ascii="Times New Roman" w:hAnsi="Times New Roman" w:eastAsia="仿宋_GB2312" w:cs="Times New Roman"/>
              </w:rPr>
              <w:t>死亡抚恤</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4E261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2.18</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24DF7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2.18</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B6BE78">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E7C133">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354754">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46127C">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81C457">
            <w:pPr>
              <w:jc w:val="right"/>
              <w:rPr>
                <w:rFonts w:ascii="Times New Roman" w:hAnsi="Times New Roman" w:eastAsia="仿宋_GB2312" w:cs="Times New Roman"/>
              </w:rPr>
            </w:pPr>
          </w:p>
        </w:tc>
      </w:tr>
      <w:tr w14:paraId="1CB49C36">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9CDB74">
            <w:pPr>
              <w:jc w:val="left"/>
              <w:rPr>
                <w:rFonts w:ascii="Times New Roman" w:hAnsi="Times New Roman" w:eastAsia="仿宋_GB2312" w:cs="Times New Roman"/>
              </w:rPr>
            </w:pPr>
            <w:r>
              <w:rPr>
                <w:rFonts w:hint="eastAsia" w:ascii="Times New Roman" w:hAnsi="Times New Roman" w:eastAsia="仿宋_GB2312" w:cs="Times New Roman"/>
              </w:rPr>
              <w:t>20899</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F6F756">
            <w:pPr>
              <w:rPr>
                <w:rFonts w:ascii="Times New Roman" w:hAnsi="Times New Roman" w:eastAsia="仿宋_GB2312" w:cs="Times New Roman"/>
              </w:rPr>
            </w:pPr>
            <w:r>
              <w:rPr>
                <w:rFonts w:hint="eastAsia" w:ascii="Times New Roman" w:hAnsi="Times New Roman" w:eastAsia="仿宋_GB2312" w:cs="Times New Roman"/>
              </w:rPr>
              <w:t>其他社会保障和就业支出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5EC57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1.02</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00D44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1.02</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10DD4B">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D99A4A">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13C47E">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07A4CE">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952555">
            <w:pPr>
              <w:jc w:val="right"/>
              <w:rPr>
                <w:rFonts w:ascii="Times New Roman" w:hAnsi="Times New Roman" w:eastAsia="仿宋_GB2312" w:cs="Times New Roman"/>
              </w:rPr>
            </w:pPr>
          </w:p>
        </w:tc>
      </w:tr>
      <w:tr w14:paraId="172ED871">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A5207A">
            <w:pPr>
              <w:jc w:val="left"/>
              <w:rPr>
                <w:rFonts w:ascii="Times New Roman" w:hAnsi="Times New Roman" w:eastAsia="仿宋_GB2312" w:cs="Times New Roman"/>
              </w:rPr>
            </w:pPr>
            <w:r>
              <w:rPr>
                <w:rFonts w:hint="eastAsia" w:ascii="Times New Roman" w:hAnsi="Times New Roman" w:eastAsia="仿宋_GB2312" w:cs="Times New Roman"/>
              </w:rPr>
              <w:t>2089999</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65A2D3">
            <w:pPr>
              <w:rPr>
                <w:rFonts w:ascii="Times New Roman" w:hAnsi="Times New Roman" w:eastAsia="仿宋_GB2312" w:cs="Times New Roman"/>
              </w:rPr>
            </w:pPr>
            <w:r>
              <w:rPr>
                <w:rFonts w:hint="eastAsia" w:ascii="Times New Roman" w:hAnsi="Times New Roman" w:eastAsia="仿宋_GB2312" w:cs="Times New Roman"/>
              </w:rPr>
              <w:t>其他社会保障和就业支出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133CE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1.02</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53001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1.02</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8E9C6D">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6B0850">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FC1B61">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6F121A">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183F10">
            <w:pPr>
              <w:jc w:val="right"/>
              <w:rPr>
                <w:rFonts w:ascii="Times New Roman" w:hAnsi="Times New Roman" w:eastAsia="仿宋_GB2312" w:cs="Times New Roman"/>
              </w:rPr>
            </w:pPr>
          </w:p>
        </w:tc>
      </w:tr>
      <w:tr w14:paraId="181A545C">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66EC52">
            <w:pPr>
              <w:jc w:val="left"/>
              <w:rPr>
                <w:rFonts w:ascii="Times New Roman" w:hAnsi="Times New Roman" w:eastAsia="仿宋_GB2312" w:cs="Times New Roman"/>
              </w:rPr>
            </w:pPr>
            <w:r>
              <w:rPr>
                <w:rFonts w:hint="eastAsia" w:ascii="Times New Roman" w:hAnsi="Times New Roman" w:eastAsia="仿宋_GB2312" w:cs="Times New Roman"/>
              </w:rPr>
              <w:t>212</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6428BC">
            <w:pPr>
              <w:rPr>
                <w:rFonts w:ascii="Times New Roman" w:hAnsi="Times New Roman" w:eastAsia="仿宋_GB2312" w:cs="Times New Roman"/>
              </w:rPr>
            </w:pPr>
            <w:r>
              <w:rPr>
                <w:rFonts w:hint="eastAsia" w:ascii="Times New Roman" w:hAnsi="Times New Roman" w:eastAsia="仿宋_GB2312" w:cs="Times New Roman"/>
              </w:rPr>
              <w:t>城乡社区支出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A2044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841.56</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B4F43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841.56</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D14AE4">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0DE560">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3DD067">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212874">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E55271">
            <w:pPr>
              <w:jc w:val="right"/>
              <w:rPr>
                <w:rFonts w:ascii="Times New Roman" w:hAnsi="Times New Roman" w:eastAsia="仿宋_GB2312" w:cs="Times New Roman"/>
              </w:rPr>
            </w:pPr>
          </w:p>
        </w:tc>
      </w:tr>
      <w:tr w14:paraId="0D0C6DFE">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3660DA">
            <w:pPr>
              <w:jc w:val="left"/>
              <w:rPr>
                <w:rFonts w:ascii="Times New Roman" w:hAnsi="Times New Roman" w:eastAsia="仿宋_GB2312" w:cs="Times New Roman"/>
              </w:rPr>
            </w:pPr>
            <w:r>
              <w:rPr>
                <w:rFonts w:hint="eastAsia" w:ascii="Times New Roman" w:hAnsi="Times New Roman" w:eastAsia="仿宋_GB2312" w:cs="Times New Roman"/>
              </w:rPr>
              <w:t>21208</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13717D">
            <w:pPr>
              <w:rPr>
                <w:rFonts w:ascii="Times New Roman" w:hAnsi="Times New Roman" w:eastAsia="仿宋_GB2312" w:cs="Times New Roman"/>
              </w:rPr>
            </w:pPr>
            <w:r>
              <w:rPr>
                <w:rFonts w:hint="eastAsia" w:ascii="Times New Roman" w:hAnsi="Times New Roman" w:eastAsia="仿宋_GB2312" w:cs="Times New Roman"/>
              </w:rPr>
              <w:t>国有土地使用权出让收入安排的支出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A94F9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590.44</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C68D3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590.44</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87BC40">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C2E1E3">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262495">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14609D">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CBA4B0">
            <w:pPr>
              <w:jc w:val="right"/>
              <w:rPr>
                <w:rFonts w:ascii="Times New Roman" w:hAnsi="Times New Roman" w:eastAsia="仿宋_GB2312" w:cs="Times New Roman"/>
              </w:rPr>
            </w:pPr>
          </w:p>
        </w:tc>
      </w:tr>
      <w:tr w14:paraId="20928F8F">
        <w:tblPrEx>
          <w:tblCellMar>
            <w:top w:w="0" w:type="dxa"/>
            <w:left w:w="0" w:type="dxa"/>
            <w:bottom w:w="0" w:type="dxa"/>
            <w:right w:w="0" w:type="dxa"/>
          </w:tblCellMar>
        </w:tblPrEx>
        <w:trPr>
          <w:trHeight w:val="298"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BD96F0">
            <w:pPr>
              <w:jc w:val="left"/>
              <w:rPr>
                <w:rFonts w:ascii="Times New Roman" w:hAnsi="Times New Roman" w:eastAsia="仿宋_GB2312" w:cs="Times New Roman"/>
              </w:rPr>
            </w:pPr>
            <w:r>
              <w:rPr>
                <w:rFonts w:hint="eastAsia" w:ascii="Times New Roman" w:hAnsi="Times New Roman" w:eastAsia="仿宋_GB2312" w:cs="Times New Roman"/>
              </w:rPr>
              <w:t>2120801</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57EC94">
            <w:pPr>
              <w:rPr>
                <w:rFonts w:ascii="Times New Roman" w:hAnsi="Times New Roman" w:eastAsia="仿宋_GB2312" w:cs="Times New Roman"/>
              </w:rPr>
            </w:pPr>
            <w:r>
              <w:rPr>
                <w:rFonts w:hint="eastAsia" w:ascii="Times New Roman" w:hAnsi="Times New Roman" w:eastAsia="仿宋_GB2312" w:cs="Times New Roman"/>
              </w:rPr>
              <w:t>征地和拆迁补偿支出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7B08F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590.44</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EFA22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590.44</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300016">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47C12D">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16F1AB">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222D3A">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17359A">
            <w:pPr>
              <w:jc w:val="right"/>
              <w:rPr>
                <w:rFonts w:ascii="Times New Roman" w:hAnsi="Times New Roman" w:eastAsia="仿宋_GB2312" w:cs="Times New Roman"/>
              </w:rPr>
            </w:pPr>
          </w:p>
        </w:tc>
      </w:tr>
      <w:tr w14:paraId="20C3F5E4">
        <w:tblPrEx>
          <w:tblCellMar>
            <w:top w:w="0" w:type="dxa"/>
            <w:left w:w="0" w:type="dxa"/>
            <w:bottom w:w="0" w:type="dxa"/>
            <w:right w:w="0" w:type="dxa"/>
          </w:tblCellMar>
        </w:tblPrEx>
        <w:trPr>
          <w:trHeight w:val="303"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1B2CEA">
            <w:pPr>
              <w:jc w:val="left"/>
              <w:rPr>
                <w:rFonts w:ascii="Times New Roman" w:hAnsi="Times New Roman" w:eastAsia="仿宋_GB2312" w:cs="Times New Roman"/>
              </w:rPr>
            </w:pPr>
            <w:r>
              <w:rPr>
                <w:rFonts w:hint="eastAsia" w:ascii="Times New Roman" w:hAnsi="Times New Roman" w:eastAsia="仿宋_GB2312" w:cs="Times New Roman"/>
              </w:rPr>
              <w:t>21213</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6340D3">
            <w:pPr>
              <w:rPr>
                <w:rFonts w:ascii="Times New Roman" w:hAnsi="Times New Roman" w:eastAsia="仿宋_GB2312" w:cs="Times New Roman"/>
              </w:rPr>
            </w:pPr>
            <w:r>
              <w:rPr>
                <w:rFonts w:hint="eastAsia" w:ascii="Times New Roman" w:hAnsi="Times New Roman" w:eastAsia="仿宋_GB2312" w:cs="Times New Roman"/>
              </w:rPr>
              <w:t>城市基础设施配套费安排的支出</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7E59B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251.12</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04F15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251.12</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0BA44E">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48EB6A">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957A6A">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5124CE">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F5F60B">
            <w:pPr>
              <w:jc w:val="right"/>
              <w:rPr>
                <w:rFonts w:ascii="Times New Roman" w:hAnsi="Times New Roman" w:eastAsia="仿宋_GB2312" w:cs="Times New Roman"/>
              </w:rPr>
            </w:pPr>
          </w:p>
        </w:tc>
      </w:tr>
      <w:tr w14:paraId="67154B56">
        <w:tblPrEx>
          <w:tblCellMar>
            <w:top w:w="0" w:type="dxa"/>
            <w:left w:w="0" w:type="dxa"/>
            <w:bottom w:w="0" w:type="dxa"/>
            <w:right w:w="0" w:type="dxa"/>
          </w:tblCellMar>
        </w:tblPrEx>
        <w:trPr>
          <w:trHeight w:val="312" w:hRule="atLeast"/>
          <w:jc w:val="center"/>
        </w:trPr>
        <w:tc>
          <w:tcPr>
            <w:tcW w:w="22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81AAE1">
            <w:pPr>
              <w:jc w:val="left"/>
              <w:rPr>
                <w:rFonts w:ascii="Times New Roman" w:hAnsi="Times New Roman" w:eastAsia="仿宋_GB2312" w:cs="Times New Roman"/>
              </w:rPr>
            </w:pPr>
            <w:r>
              <w:rPr>
                <w:rFonts w:hint="eastAsia" w:ascii="Times New Roman" w:hAnsi="Times New Roman" w:eastAsia="仿宋_GB2312" w:cs="Times New Roman"/>
              </w:rPr>
              <w:t>2121301</w:t>
            </w:r>
          </w:p>
        </w:tc>
        <w:tc>
          <w:tcPr>
            <w:tcW w:w="35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8BFA3F">
            <w:pPr>
              <w:rPr>
                <w:rFonts w:ascii="Times New Roman" w:hAnsi="Times New Roman" w:eastAsia="仿宋_GB2312" w:cs="Times New Roman"/>
              </w:rPr>
            </w:pPr>
            <w:r>
              <w:rPr>
                <w:rFonts w:hint="eastAsia" w:ascii="Times New Roman" w:hAnsi="Times New Roman" w:eastAsia="仿宋_GB2312" w:cs="Times New Roman"/>
              </w:rPr>
              <w:t>城市公共设施</w:t>
            </w:r>
          </w:p>
        </w:tc>
        <w:tc>
          <w:tcPr>
            <w:tcW w:w="13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037CD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251.12</w:t>
            </w: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94454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251.12</w:t>
            </w:r>
          </w:p>
        </w:tc>
        <w:tc>
          <w:tcPr>
            <w:tcW w:w="7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BF60D3">
            <w:pPr>
              <w:jc w:val="right"/>
              <w:rPr>
                <w:rFonts w:ascii="Times New Roman" w:hAnsi="Times New Roman" w:eastAsia="仿宋_GB2312" w:cs="Times New Roman"/>
              </w:rPr>
            </w:pPr>
          </w:p>
        </w:tc>
        <w:tc>
          <w:tcPr>
            <w:tcW w:w="9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CFEFD7">
            <w:pPr>
              <w:jc w:val="right"/>
              <w:rPr>
                <w:rFonts w:ascii="Times New Roman" w:hAnsi="Times New Roman" w:eastAsia="仿宋_GB2312" w:cs="Times New Roman"/>
              </w:rPr>
            </w:pPr>
          </w:p>
        </w:tc>
        <w:tc>
          <w:tcPr>
            <w:tcW w:w="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33E592">
            <w:pPr>
              <w:jc w:val="right"/>
              <w:rPr>
                <w:rFonts w:ascii="Times New Roman" w:hAnsi="Times New Roman" w:eastAsia="仿宋_GB2312" w:cs="Times New Roman"/>
              </w:rPr>
            </w:pPr>
          </w:p>
        </w:tc>
        <w:tc>
          <w:tcPr>
            <w:tcW w:w="9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BDDEEC">
            <w:pPr>
              <w:jc w:val="right"/>
              <w:rPr>
                <w:rFonts w:ascii="Times New Roman" w:hAnsi="Times New Roman" w:eastAsia="仿宋_GB2312" w:cs="Times New Roman"/>
              </w:rPr>
            </w:pPr>
          </w:p>
        </w:tc>
        <w:tc>
          <w:tcPr>
            <w:tcW w:w="10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F05009">
            <w:pPr>
              <w:jc w:val="right"/>
              <w:rPr>
                <w:rFonts w:ascii="Times New Roman" w:hAnsi="Times New Roman" w:eastAsia="仿宋_GB2312" w:cs="Times New Roman"/>
              </w:rPr>
            </w:pPr>
          </w:p>
        </w:tc>
      </w:tr>
    </w:tbl>
    <w:p w14:paraId="6C2ACB6E">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r>
        <w:rPr>
          <w:rFonts w:ascii="Times New Roman" w:hAnsi="Times New Roman" w:eastAsia="黑体" w:cs="Times New Roman"/>
          <w:bCs/>
          <w:kern w:val="0"/>
          <w:sz w:val="32"/>
          <w:szCs w:val="32"/>
        </w:rPr>
        <w:br w:type="page"/>
      </w:r>
    </w:p>
    <w:p w14:paraId="511A86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FC735A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901CC0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668" w:type="pct"/>
        <w:jc w:val="center"/>
        <w:tblLayout w:type="autofit"/>
        <w:tblCellMar>
          <w:top w:w="0" w:type="dxa"/>
          <w:left w:w="108" w:type="dxa"/>
          <w:bottom w:w="0" w:type="dxa"/>
          <w:right w:w="108" w:type="dxa"/>
        </w:tblCellMar>
      </w:tblPr>
      <w:tblGrid>
        <w:gridCol w:w="1794"/>
        <w:gridCol w:w="4056"/>
        <w:gridCol w:w="1223"/>
        <w:gridCol w:w="1209"/>
        <w:gridCol w:w="1056"/>
        <w:gridCol w:w="1103"/>
        <w:gridCol w:w="779"/>
        <w:gridCol w:w="2056"/>
      </w:tblGrid>
      <w:tr w14:paraId="1B76B8C8">
        <w:tblPrEx>
          <w:tblCellMar>
            <w:top w:w="0" w:type="dxa"/>
            <w:left w:w="108" w:type="dxa"/>
            <w:bottom w:w="0" w:type="dxa"/>
            <w:right w:w="108" w:type="dxa"/>
          </w:tblCellMar>
        </w:tblPrEx>
        <w:trPr>
          <w:trHeight w:val="269" w:hRule="atLeast"/>
          <w:jc w:val="center"/>
        </w:trPr>
        <w:tc>
          <w:tcPr>
            <w:tcW w:w="222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E90D70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0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38802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7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E3F41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D2433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4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E9A7C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1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E080F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32EEA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B2116AD">
        <w:tblPrEx>
          <w:tblCellMar>
            <w:top w:w="0" w:type="dxa"/>
            <w:left w:w="108" w:type="dxa"/>
            <w:bottom w:w="0" w:type="dxa"/>
            <w:right w:w="108" w:type="dxa"/>
          </w:tblCellMar>
        </w:tblPrEx>
        <w:trPr>
          <w:trHeight w:val="312" w:hRule="exact"/>
          <w:jc w:val="center"/>
        </w:trPr>
        <w:tc>
          <w:tcPr>
            <w:tcW w:w="7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EC2D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527" w:type="pct"/>
            <w:vMerge w:val="restart"/>
            <w:tcBorders>
              <w:top w:val="nil"/>
              <w:left w:val="single" w:color="auto" w:sz="4" w:space="0"/>
              <w:bottom w:val="single" w:color="auto" w:sz="4" w:space="0"/>
              <w:right w:val="single" w:color="auto" w:sz="4" w:space="0"/>
            </w:tcBorders>
            <w:shd w:val="clear" w:color="000000" w:fill="FFFFFF"/>
            <w:vAlign w:val="center"/>
          </w:tcPr>
          <w:p w14:paraId="7D75013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09" w:type="pct"/>
            <w:vMerge w:val="continue"/>
            <w:tcBorders>
              <w:top w:val="single" w:color="auto" w:sz="4" w:space="0"/>
              <w:left w:val="single" w:color="auto" w:sz="4" w:space="0"/>
              <w:bottom w:val="single" w:color="auto" w:sz="4" w:space="0"/>
              <w:right w:val="single" w:color="auto" w:sz="4" w:space="0"/>
            </w:tcBorders>
            <w:vAlign w:val="center"/>
          </w:tcPr>
          <w:p w14:paraId="55ADDDAA">
            <w:pPr>
              <w:widowControl/>
              <w:jc w:val="left"/>
              <w:rPr>
                <w:rFonts w:ascii="Times New Roman" w:hAnsi="Times New Roman" w:eastAsia="仿宋_GB2312" w:cs="Times New Roman"/>
                <w:b/>
                <w:bCs/>
                <w:kern w:val="0"/>
                <w:sz w:val="24"/>
                <w:szCs w:val="24"/>
              </w:rPr>
            </w:pPr>
          </w:p>
        </w:tc>
        <w:tc>
          <w:tcPr>
            <w:tcW w:w="375" w:type="pct"/>
            <w:vMerge w:val="continue"/>
            <w:tcBorders>
              <w:top w:val="single" w:color="auto" w:sz="4" w:space="0"/>
              <w:left w:val="single" w:color="auto" w:sz="4" w:space="0"/>
              <w:bottom w:val="single" w:color="auto" w:sz="4" w:space="0"/>
              <w:right w:val="single" w:color="auto" w:sz="4" w:space="0"/>
            </w:tcBorders>
            <w:vAlign w:val="center"/>
          </w:tcPr>
          <w:p w14:paraId="7FFA6468">
            <w:pPr>
              <w:widowControl/>
              <w:jc w:val="left"/>
              <w:rPr>
                <w:rFonts w:ascii="Times New Roman" w:hAnsi="Times New Roman" w:eastAsia="仿宋_GB2312" w:cs="Times New Roman"/>
                <w:b/>
                <w:bCs/>
                <w:kern w:val="0"/>
                <w:sz w:val="24"/>
                <w:szCs w:val="24"/>
              </w:rPr>
            </w:pPr>
          </w:p>
        </w:tc>
        <w:tc>
          <w:tcPr>
            <w:tcW w:w="329" w:type="pct"/>
            <w:vMerge w:val="continue"/>
            <w:tcBorders>
              <w:top w:val="single" w:color="auto" w:sz="4" w:space="0"/>
              <w:left w:val="single" w:color="auto" w:sz="4" w:space="0"/>
              <w:bottom w:val="single" w:color="auto" w:sz="4" w:space="0"/>
              <w:right w:val="single" w:color="auto" w:sz="4" w:space="0"/>
            </w:tcBorders>
            <w:vAlign w:val="center"/>
          </w:tcPr>
          <w:p w14:paraId="11A13156">
            <w:pPr>
              <w:widowControl/>
              <w:jc w:val="left"/>
              <w:rPr>
                <w:rFonts w:ascii="Times New Roman" w:hAnsi="Times New Roman" w:eastAsia="仿宋_GB2312" w:cs="Times New Roman"/>
                <w:b/>
                <w:bCs/>
                <w:kern w:val="0"/>
                <w:sz w:val="24"/>
                <w:szCs w:val="24"/>
              </w:rPr>
            </w:pPr>
          </w:p>
        </w:tc>
        <w:tc>
          <w:tcPr>
            <w:tcW w:w="440" w:type="pct"/>
            <w:vMerge w:val="continue"/>
            <w:tcBorders>
              <w:top w:val="single" w:color="auto" w:sz="4" w:space="0"/>
              <w:left w:val="single" w:color="auto" w:sz="4" w:space="0"/>
              <w:bottom w:val="single" w:color="auto" w:sz="4" w:space="0"/>
              <w:right w:val="single" w:color="auto" w:sz="4" w:space="0"/>
            </w:tcBorders>
            <w:vAlign w:val="center"/>
          </w:tcPr>
          <w:p w14:paraId="30A8FEF6">
            <w:pPr>
              <w:widowControl/>
              <w:jc w:val="left"/>
              <w:rPr>
                <w:rFonts w:ascii="Times New Roman" w:hAnsi="Times New Roman" w:eastAsia="仿宋_GB2312" w:cs="Times New Roman"/>
                <w:b/>
                <w:bCs/>
                <w:kern w:val="0"/>
                <w:sz w:val="24"/>
                <w:szCs w:val="24"/>
              </w:rPr>
            </w:pPr>
          </w:p>
        </w:tc>
        <w:tc>
          <w:tcPr>
            <w:tcW w:w="318" w:type="pct"/>
            <w:vMerge w:val="continue"/>
            <w:tcBorders>
              <w:top w:val="single" w:color="auto" w:sz="4" w:space="0"/>
              <w:left w:val="single" w:color="auto" w:sz="4" w:space="0"/>
              <w:bottom w:val="single" w:color="auto" w:sz="4" w:space="0"/>
              <w:right w:val="single" w:color="auto" w:sz="4" w:space="0"/>
            </w:tcBorders>
            <w:vAlign w:val="center"/>
          </w:tcPr>
          <w:p w14:paraId="6D76238E">
            <w:pPr>
              <w:widowControl/>
              <w:jc w:val="left"/>
              <w:rPr>
                <w:rFonts w:ascii="Times New Roman" w:hAnsi="Times New Roman" w:eastAsia="仿宋_GB2312" w:cs="Times New Roman"/>
                <w:b/>
                <w:bCs/>
                <w:kern w:val="0"/>
                <w:sz w:val="24"/>
                <w:szCs w:val="24"/>
              </w:rPr>
            </w:pPr>
          </w:p>
        </w:tc>
        <w:tc>
          <w:tcPr>
            <w:tcW w:w="798" w:type="pct"/>
            <w:vMerge w:val="continue"/>
            <w:tcBorders>
              <w:top w:val="single" w:color="auto" w:sz="4" w:space="0"/>
              <w:left w:val="single" w:color="auto" w:sz="4" w:space="0"/>
              <w:bottom w:val="single" w:color="auto" w:sz="4" w:space="0"/>
              <w:right w:val="single" w:color="auto" w:sz="4" w:space="0"/>
            </w:tcBorders>
            <w:vAlign w:val="center"/>
          </w:tcPr>
          <w:p w14:paraId="633B9FB5">
            <w:pPr>
              <w:widowControl/>
              <w:jc w:val="left"/>
              <w:rPr>
                <w:rFonts w:ascii="Times New Roman" w:hAnsi="Times New Roman" w:eastAsia="仿宋_GB2312" w:cs="Times New Roman"/>
                <w:b/>
                <w:bCs/>
                <w:kern w:val="0"/>
                <w:sz w:val="24"/>
                <w:szCs w:val="24"/>
              </w:rPr>
            </w:pPr>
          </w:p>
        </w:tc>
      </w:tr>
      <w:tr w14:paraId="73B2A445">
        <w:tblPrEx>
          <w:tblCellMar>
            <w:top w:w="0" w:type="dxa"/>
            <w:left w:w="108" w:type="dxa"/>
            <w:bottom w:w="0" w:type="dxa"/>
            <w:right w:w="108" w:type="dxa"/>
          </w:tblCellMar>
        </w:tblPrEx>
        <w:trPr>
          <w:trHeight w:val="312" w:hRule="atLeast"/>
          <w:jc w:val="center"/>
        </w:trPr>
        <w:tc>
          <w:tcPr>
            <w:tcW w:w="700" w:type="pct"/>
            <w:vMerge w:val="continue"/>
            <w:tcBorders>
              <w:top w:val="single" w:color="auto" w:sz="4" w:space="0"/>
              <w:left w:val="single" w:color="auto" w:sz="4" w:space="0"/>
              <w:bottom w:val="single" w:color="auto" w:sz="4" w:space="0"/>
              <w:right w:val="single" w:color="auto" w:sz="4" w:space="0"/>
            </w:tcBorders>
            <w:vAlign w:val="center"/>
          </w:tcPr>
          <w:p w14:paraId="37CA844A">
            <w:pPr>
              <w:widowControl/>
              <w:jc w:val="left"/>
              <w:rPr>
                <w:rFonts w:ascii="Times New Roman" w:hAnsi="Times New Roman" w:eastAsia="仿宋_GB2312" w:cs="Times New Roman"/>
                <w:kern w:val="0"/>
                <w:sz w:val="24"/>
                <w:szCs w:val="24"/>
              </w:rPr>
            </w:pPr>
          </w:p>
        </w:tc>
        <w:tc>
          <w:tcPr>
            <w:tcW w:w="1527" w:type="pct"/>
            <w:vMerge w:val="continue"/>
            <w:tcBorders>
              <w:top w:val="nil"/>
              <w:left w:val="single" w:color="auto" w:sz="4" w:space="0"/>
              <w:bottom w:val="single" w:color="auto" w:sz="4" w:space="0"/>
              <w:right w:val="single" w:color="auto" w:sz="4" w:space="0"/>
            </w:tcBorders>
            <w:vAlign w:val="center"/>
          </w:tcPr>
          <w:p w14:paraId="6259FD1E">
            <w:pPr>
              <w:widowControl/>
              <w:jc w:val="left"/>
              <w:rPr>
                <w:rFonts w:ascii="Times New Roman" w:hAnsi="Times New Roman" w:eastAsia="仿宋_GB2312" w:cs="Times New Roman"/>
                <w:kern w:val="0"/>
                <w:sz w:val="24"/>
                <w:szCs w:val="24"/>
              </w:rPr>
            </w:pPr>
          </w:p>
        </w:tc>
        <w:tc>
          <w:tcPr>
            <w:tcW w:w="509" w:type="pct"/>
            <w:vMerge w:val="continue"/>
            <w:tcBorders>
              <w:top w:val="single" w:color="auto" w:sz="4" w:space="0"/>
              <w:left w:val="single" w:color="auto" w:sz="4" w:space="0"/>
              <w:bottom w:val="single" w:color="auto" w:sz="4" w:space="0"/>
              <w:right w:val="single" w:color="auto" w:sz="4" w:space="0"/>
            </w:tcBorders>
            <w:vAlign w:val="center"/>
          </w:tcPr>
          <w:p w14:paraId="1EC41384">
            <w:pPr>
              <w:widowControl/>
              <w:jc w:val="left"/>
              <w:rPr>
                <w:rFonts w:ascii="Times New Roman" w:hAnsi="Times New Roman" w:eastAsia="仿宋_GB2312" w:cs="Times New Roman"/>
                <w:kern w:val="0"/>
                <w:sz w:val="24"/>
                <w:szCs w:val="24"/>
              </w:rPr>
            </w:pPr>
          </w:p>
        </w:tc>
        <w:tc>
          <w:tcPr>
            <w:tcW w:w="375" w:type="pct"/>
            <w:vMerge w:val="continue"/>
            <w:tcBorders>
              <w:top w:val="single" w:color="auto" w:sz="4" w:space="0"/>
              <w:left w:val="single" w:color="auto" w:sz="4" w:space="0"/>
              <w:bottom w:val="single" w:color="auto" w:sz="4" w:space="0"/>
              <w:right w:val="single" w:color="auto" w:sz="4" w:space="0"/>
            </w:tcBorders>
            <w:vAlign w:val="center"/>
          </w:tcPr>
          <w:p w14:paraId="37F94775">
            <w:pPr>
              <w:widowControl/>
              <w:jc w:val="left"/>
              <w:rPr>
                <w:rFonts w:ascii="Times New Roman" w:hAnsi="Times New Roman" w:eastAsia="仿宋_GB2312" w:cs="Times New Roman"/>
                <w:kern w:val="0"/>
                <w:sz w:val="24"/>
                <w:szCs w:val="24"/>
              </w:rPr>
            </w:pPr>
          </w:p>
        </w:tc>
        <w:tc>
          <w:tcPr>
            <w:tcW w:w="329" w:type="pct"/>
            <w:vMerge w:val="continue"/>
            <w:tcBorders>
              <w:top w:val="single" w:color="auto" w:sz="4" w:space="0"/>
              <w:left w:val="single" w:color="auto" w:sz="4" w:space="0"/>
              <w:bottom w:val="single" w:color="auto" w:sz="4" w:space="0"/>
              <w:right w:val="single" w:color="auto" w:sz="4" w:space="0"/>
            </w:tcBorders>
            <w:vAlign w:val="center"/>
          </w:tcPr>
          <w:p w14:paraId="5D841DAD">
            <w:pPr>
              <w:widowControl/>
              <w:jc w:val="left"/>
              <w:rPr>
                <w:rFonts w:ascii="Times New Roman" w:hAnsi="Times New Roman" w:eastAsia="仿宋_GB2312" w:cs="Times New Roman"/>
                <w:kern w:val="0"/>
                <w:sz w:val="24"/>
                <w:szCs w:val="24"/>
              </w:rPr>
            </w:pPr>
          </w:p>
        </w:tc>
        <w:tc>
          <w:tcPr>
            <w:tcW w:w="440" w:type="pct"/>
            <w:vMerge w:val="continue"/>
            <w:tcBorders>
              <w:top w:val="single" w:color="auto" w:sz="4" w:space="0"/>
              <w:left w:val="single" w:color="auto" w:sz="4" w:space="0"/>
              <w:bottom w:val="single" w:color="auto" w:sz="4" w:space="0"/>
              <w:right w:val="single" w:color="auto" w:sz="4" w:space="0"/>
            </w:tcBorders>
            <w:vAlign w:val="center"/>
          </w:tcPr>
          <w:p w14:paraId="118C8B35">
            <w:pPr>
              <w:widowControl/>
              <w:jc w:val="left"/>
              <w:rPr>
                <w:rFonts w:ascii="Times New Roman" w:hAnsi="Times New Roman" w:eastAsia="仿宋_GB2312" w:cs="Times New Roman"/>
                <w:kern w:val="0"/>
                <w:sz w:val="24"/>
                <w:szCs w:val="24"/>
              </w:rPr>
            </w:pPr>
          </w:p>
        </w:tc>
        <w:tc>
          <w:tcPr>
            <w:tcW w:w="318" w:type="pct"/>
            <w:vMerge w:val="continue"/>
            <w:tcBorders>
              <w:top w:val="single" w:color="auto" w:sz="4" w:space="0"/>
              <w:left w:val="single" w:color="auto" w:sz="4" w:space="0"/>
              <w:bottom w:val="single" w:color="auto" w:sz="4" w:space="0"/>
              <w:right w:val="single" w:color="auto" w:sz="4" w:space="0"/>
            </w:tcBorders>
            <w:vAlign w:val="center"/>
          </w:tcPr>
          <w:p w14:paraId="27D106AE">
            <w:pPr>
              <w:widowControl/>
              <w:jc w:val="left"/>
              <w:rPr>
                <w:rFonts w:ascii="Times New Roman" w:hAnsi="Times New Roman" w:eastAsia="仿宋_GB2312" w:cs="Times New Roman"/>
                <w:kern w:val="0"/>
                <w:sz w:val="24"/>
                <w:szCs w:val="24"/>
              </w:rPr>
            </w:pPr>
          </w:p>
        </w:tc>
        <w:tc>
          <w:tcPr>
            <w:tcW w:w="798" w:type="pct"/>
            <w:vMerge w:val="continue"/>
            <w:tcBorders>
              <w:top w:val="single" w:color="auto" w:sz="4" w:space="0"/>
              <w:left w:val="single" w:color="auto" w:sz="4" w:space="0"/>
              <w:bottom w:val="single" w:color="auto" w:sz="4" w:space="0"/>
              <w:right w:val="single" w:color="auto" w:sz="4" w:space="0"/>
            </w:tcBorders>
            <w:vAlign w:val="center"/>
          </w:tcPr>
          <w:p w14:paraId="788A46AD">
            <w:pPr>
              <w:widowControl/>
              <w:jc w:val="left"/>
              <w:rPr>
                <w:rFonts w:ascii="Times New Roman" w:hAnsi="Times New Roman" w:eastAsia="仿宋_GB2312" w:cs="Times New Roman"/>
                <w:kern w:val="0"/>
                <w:sz w:val="24"/>
                <w:szCs w:val="24"/>
              </w:rPr>
            </w:pPr>
          </w:p>
        </w:tc>
      </w:tr>
      <w:tr w14:paraId="3C6C0DF2">
        <w:tblPrEx>
          <w:tblCellMar>
            <w:top w:w="0" w:type="dxa"/>
            <w:left w:w="108" w:type="dxa"/>
            <w:bottom w:w="0" w:type="dxa"/>
            <w:right w:w="108" w:type="dxa"/>
          </w:tblCellMar>
        </w:tblPrEx>
        <w:trPr>
          <w:trHeight w:val="269" w:hRule="atLeast"/>
          <w:jc w:val="center"/>
        </w:trPr>
        <w:tc>
          <w:tcPr>
            <w:tcW w:w="222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7EE33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09" w:type="pct"/>
            <w:tcBorders>
              <w:top w:val="nil"/>
              <w:left w:val="nil"/>
              <w:bottom w:val="single" w:color="auto" w:sz="4" w:space="0"/>
              <w:right w:val="single" w:color="auto" w:sz="4" w:space="0"/>
            </w:tcBorders>
            <w:shd w:val="clear" w:color="000000" w:fill="FFFFFF"/>
            <w:noWrap/>
            <w:vAlign w:val="center"/>
          </w:tcPr>
          <w:p w14:paraId="0F5BF4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75" w:type="pct"/>
            <w:tcBorders>
              <w:top w:val="nil"/>
              <w:left w:val="nil"/>
              <w:bottom w:val="single" w:color="auto" w:sz="4" w:space="0"/>
              <w:right w:val="single" w:color="auto" w:sz="4" w:space="0"/>
            </w:tcBorders>
            <w:shd w:val="clear" w:color="000000" w:fill="FFFFFF"/>
            <w:noWrap/>
            <w:vAlign w:val="center"/>
          </w:tcPr>
          <w:p w14:paraId="038EE6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29" w:type="pct"/>
            <w:tcBorders>
              <w:top w:val="nil"/>
              <w:left w:val="nil"/>
              <w:bottom w:val="single" w:color="auto" w:sz="4" w:space="0"/>
              <w:right w:val="single" w:color="auto" w:sz="4" w:space="0"/>
            </w:tcBorders>
            <w:shd w:val="clear" w:color="000000" w:fill="FFFFFF"/>
            <w:noWrap/>
            <w:vAlign w:val="center"/>
          </w:tcPr>
          <w:p w14:paraId="72C35F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40" w:type="pct"/>
            <w:tcBorders>
              <w:top w:val="nil"/>
              <w:left w:val="nil"/>
              <w:bottom w:val="single" w:color="auto" w:sz="4" w:space="0"/>
              <w:right w:val="single" w:color="auto" w:sz="4" w:space="0"/>
            </w:tcBorders>
            <w:shd w:val="clear" w:color="000000" w:fill="FFFFFF"/>
            <w:noWrap/>
            <w:vAlign w:val="center"/>
          </w:tcPr>
          <w:p w14:paraId="346EC2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18" w:type="pct"/>
            <w:tcBorders>
              <w:top w:val="nil"/>
              <w:left w:val="nil"/>
              <w:bottom w:val="single" w:color="auto" w:sz="4" w:space="0"/>
              <w:right w:val="single" w:color="auto" w:sz="4" w:space="0"/>
            </w:tcBorders>
            <w:shd w:val="clear" w:color="000000" w:fill="FFFFFF"/>
            <w:noWrap/>
            <w:vAlign w:val="center"/>
          </w:tcPr>
          <w:p w14:paraId="57787F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98" w:type="pct"/>
            <w:tcBorders>
              <w:top w:val="nil"/>
              <w:left w:val="nil"/>
              <w:bottom w:val="single" w:color="auto" w:sz="4" w:space="0"/>
              <w:right w:val="single" w:color="auto" w:sz="4" w:space="0"/>
            </w:tcBorders>
            <w:shd w:val="clear" w:color="000000" w:fill="FFFFFF"/>
            <w:noWrap/>
            <w:vAlign w:val="center"/>
          </w:tcPr>
          <w:p w14:paraId="7ECC29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6A0BA0B">
        <w:tblPrEx>
          <w:tblCellMar>
            <w:top w:w="0" w:type="dxa"/>
            <w:left w:w="108" w:type="dxa"/>
            <w:bottom w:w="0" w:type="dxa"/>
            <w:right w:w="108" w:type="dxa"/>
          </w:tblCellMar>
        </w:tblPrEx>
        <w:trPr>
          <w:trHeight w:val="269" w:hRule="atLeast"/>
          <w:jc w:val="center"/>
        </w:trPr>
        <w:tc>
          <w:tcPr>
            <w:tcW w:w="222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EB92F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09" w:type="pct"/>
            <w:tcBorders>
              <w:top w:val="nil"/>
              <w:left w:val="nil"/>
              <w:bottom w:val="single" w:color="auto" w:sz="4" w:space="0"/>
              <w:right w:val="single" w:color="auto" w:sz="4" w:space="0"/>
            </w:tcBorders>
            <w:shd w:val="clear" w:color="auto" w:fill="auto"/>
            <w:noWrap/>
            <w:vAlign w:val="center"/>
          </w:tcPr>
          <w:p w14:paraId="5076862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1961.56</w:t>
            </w:r>
            <w:r>
              <w:rPr>
                <w:rFonts w:ascii="Times New Roman" w:hAnsi="Times New Roman" w:eastAsia="仿宋_GB2312" w:cs="Times New Roman"/>
                <w:kern w:val="0"/>
                <w:sz w:val="24"/>
                <w:szCs w:val="24"/>
              </w:rPr>
              <w:t>　</w:t>
            </w:r>
          </w:p>
        </w:tc>
        <w:tc>
          <w:tcPr>
            <w:tcW w:w="375" w:type="pct"/>
            <w:tcBorders>
              <w:top w:val="nil"/>
              <w:left w:val="nil"/>
              <w:bottom w:val="single" w:color="auto" w:sz="4" w:space="0"/>
              <w:right w:val="single" w:color="auto" w:sz="4" w:space="0"/>
            </w:tcBorders>
            <w:shd w:val="clear" w:color="auto" w:fill="auto"/>
            <w:noWrap/>
            <w:vAlign w:val="center"/>
          </w:tcPr>
          <w:p w14:paraId="64BC19C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1120</w:t>
            </w:r>
            <w:r>
              <w:rPr>
                <w:rFonts w:ascii="Times New Roman" w:hAnsi="Times New Roman" w:eastAsia="仿宋_GB2312" w:cs="Times New Roman"/>
                <w:kern w:val="0"/>
                <w:sz w:val="24"/>
                <w:szCs w:val="24"/>
              </w:rPr>
              <w:t>　</w:t>
            </w:r>
          </w:p>
        </w:tc>
        <w:tc>
          <w:tcPr>
            <w:tcW w:w="329" w:type="pct"/>
            <w:tcBorders>
              <w:top w:val="nil"/>
              <w:left w:val="nil"/>
              <w:bottom w:val="single" w:color="auto" w:sz="4" w:space="0"/>
              <w:right w:val="single" w:color="auto" w:sz="4" w:space="0"/>
            </w:tcBorders>
            <w:shd w:val="clear" w:color="auto" w:fill="auto"/>
            <w:noWrap/>
            <w:vAlign w:val="center"/>
          </w:tcPr>
          <w:p w14:paraId="763AF76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841.56</w:t>
            </w: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29B5C1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18" w:type="pct"/>
            <w:tcBorders>
              <w:top w:val="nil"/>
              <w:left w:val="nil"/>
              <w:bottom w:val="single" w:color="auto" w:sz="4" w:space="0"/>
              <w:right w:val="single" w:color="auto" w:sz="4" w:space="0"/>
            </w:tcBorders>
            <w:shd w:val="clear" w:color="auto" w:fill="auto"/>
            <w:noWrap/>
            <w:vAlign w:val="center"/>
          </w:tcPr>
          <w:p w14:paraId="2D454B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8" w:type="pct"/>
            <w:tcBorders>
              <w:top w:val="nil"/>
              <w:left w:val="nil"/>
              <w:bottom w:val="single" w:color="auto" w:sz="4" w:space="0"/>
              <w:right w:val="single" w:color="auto" w:sz="4" w:space="0"/>
            </w:tcBorders>
            <w:shd w:val="clear" w:color="auto" w:fill="auto"/>
            <w:noWrap/>
            <w:vAlign w:val="center"/>
          </w:tcPr>
          <w:p w14:paraId="5478EA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6F90307">
        <w:tblPrEx>
          <w:tblCellMar>
            <w:top w:w="0" w:type="dxa"/>
            <w:left w:w="108" w:type="dxa"/>
            <w:bottom w:w="0" w:type="dxa"/>
            <w:right w:w="108" w:type="dxa"/>
          </w:tblCellMar>
        </w:tblPrEx>
        <w:trPr>
          <w:trHeight w:val="269"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54C3B0">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w:t>
            </w:r>
          </w:p>
        </w:tc>
        <w:tc>
          <w:tcPr>
            <w:tcW w:w="1527" w:type="pct"/>
            <w:tcBorders>
              <w:top w:val="nil"/>
              <w:left w:val="nil"/>
              <w:bottom w:val="single" w:color="auto" w:sz="4" w:space="0"/>
              <w:right w:val="single" w:color="auto" w:sz="4" w:space="0"/>
            </w:tcBorders>
            <w:shd w:val="clear" w:color="000000" w:fill="FFFFFF"/>
            <w:noWrap/>
            <w:vAlign w:val="center"/>
          </w:tcPr>
          <w:p w14:paraId="1356545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一般公共服务支出</w:t>
            </w:r>
          </w:p>
        </w:tc>
        <w:tc>
          <w:tcPr>
            <w:tcW w:w="509" w:type="pct"/>
            <w:tcBorders>
              <w:top w:val="nil"/>
              <w:left w:val="nil"/>
              <w:bottom w:val="single" w:color="auto" w:sz="4" w:space="0"/>
              <w:right w:val="single" w:color="auto" w:sz="4" w:space="0"/>
            </w:tcBorders>
            <w:shd w:val="clear" w:color="auto" w:fill="auto"/>
            <w:noWrap/>
            <w:vAlign w:val="center"/>
          </w:tcPr>
          <w:p w14:paraId="57BE1B9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1103.84</w:t>
            </w:r>
            <w:r>
              <w:rPr>
                <w:rFonts w:ascii="Times New Roman" w:hAnsi="Times New Roman" w:eastAsia="仿宋_GB2312" w:cs="Times New Roman"/>
                <w:kern w:val="0"/>
                <w:sz w:val="24"/>
                <w:szCs w:val="24"/>
              </w:rPr>
              <w:t>　</w:t>
            </w:r>
          </w:p>
        </w:tc>
        <w:tc>
          <w:tcPr>
            <w:tcW w:w="375" w:type="pct"/>
            <w:tcBorders>
              <w:top w:val="nil"/>
              <w:left w:val="nil"/>
              <w:bottom w:val="single" w:color="auto" w:sz="4" w:space="0"/>
              <w:right w:val="single" w:color="auto" w:sz="4" w:space="0"/>
            </w:tcBorders>
            <w:shd w:val="clear" w:color="auto" w:fill="auto"/>
            <w:noWrap/>
            <w:vAlign w:val="center"/>
          </w:tcPr>
          <w:p w14:paraId="63B1CA0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1103.84</w:t>
            </w:r>
            <w:r>
              <w:rPr>
                <w:rFonts w:ascii="Times New Roman" w:hAnsi="Times New Roman" w:eastAsia="仿宋_GB2312" w:cs="Times New Roman"/>
                <w:kern w:val="0"/>
                <w:sz w:val="24"/>
                <w:szCs w:val="24"/>
              </w:rPr>
              <w:t>　</w:t>
            </w:r>
          </w:p>
        </w:tc>
        <w:tc>
          <w:tcPr>
            <w:tcW w:w="329" w:type="pct"/>
            <w:tcBorders>
              <w:top w:val="nil"/>
              <w:left w:val="nil"/>
              <w:bottom w:val="single" w:color="auto" w:sz="4" w:space="0"/>
              <w:right w:val="single" w:color="auto" w:sz="4" w:space="0"/>
            </w:tcBorders>
            <w:shd w:val="clear" w:color="auto" w:fill="auto"/>
            <w:noWrap/>
            <w:vAlign w:val="center"/>
          </w:tcPr>
          <w:p w14:paraId="0197DD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5E28354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18" w:type="pct"/>
            <w:tcBorders>
              <w:top w:val="nil"/>
              <w:left w:val="nil"/>
              <w:bottom w:val="single" w:color="auto" w:sz="4" w:space="0"/>
              <w:right w:val="single" w:color="auto" w:sz="4" w:space="0"/>
            </w:tcBorders>
            <w:shd w:val="clear" w:color="auto" w:fill="auto"/>
            <w:noWrap/>
            <w:vAlign w:val="center"/>
          </w:tcPr>
          <w:p w14:paraId="5D44FAC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8" w:type="pct"/>
            <w:tcBorders>
              <w:top w:val="nil"/>
              <w:left w:val="nil"/>
              <w:bottom w:val="single" w:color="auto" w:sz="4" w:space="0"/>
              <w:right w:val="single" w:color="auto" w:sz="4" w:space="0"/>
            </w:tcBorders>
            <w:shd w:val="clear" w:color="auto" w:fill="auto"/>
            <w:noWrap/>
            <w:vAlign w:val="center"/>
          </w:tcPr>
          <w:p w14:paraId="4AEEEE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28ADDB">
        <w:tblPrEx>
          <w:tblCellMar>
            <w:top w:w="0" w:type="dxa"/>
            <w:left w:w="108" w:type="dxa"/>
            <w:bottom w:w="0" w:type="dxa"/>
            <w:right w:w="108" w:type="dxa"/>
          </w:tblCellMar>
        </w:tblPrEx>
        <w:trPr>
          <w:trHeight w:val="269"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DA30A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20138</w:t>
            </w:r>
          </w:p>
        </w:tc>
        <w:tc>
          <w:tcPr>
            <w:tcW w:w="1527" w:type="pct"/>
            <w:tcBorders>
              <w:top w:val="nil"/>
              <w:left w:val="nil"/>
              <w:bottom w:val="single" w:color="auto" w:sz="4" w:space="0"/>
              <w:right w:val="single" w:color="auto" w:sz="4" w:space="0"/>
            </w:tcBorders>
            <w:shd w:val="clear" w:color="000000" w:fill="FFFFFF"/>
            <w:noWrap/>
            <w:vAlign w:val="center"/>
          </w:tcPr>
          <w:p w14:paraId="7E3D269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市场监督管理事务</w:t>
            </w:r>
          </w:p>
        </w:tc>
        <w:tc>
          <w:tcPr>
            <w:tcW w:w="509" w:type="pct"/>
            <w:tcBorders>
              <w:top w:val="nil"/>
              <w:left w:val="nil"/>
              <w:bottom w:val="single" w:color="auto" w:sz="4" w:space="0"/>
              <w:right w:val="single" w:color="auto" w:sz="4" w:space="0"/>
            </w:tcBorders>
            <w:shd w:val="clear" w:color="auto" w:fill="auto"/>
            <w:noWrap/>
            <w:vAlign w:val="center"/>
          </w:tcPr>
          <w:p w14:paraId="6452067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1101.84</w:t>
            </w:r>
            <w:r>
              <w:rPr>
                <w:rFonts w:ascii="Times New Roman" w:hAnsi="Times New Roman" w:eastAsia="仿宋_GB2312" w:cs="Times New Roman"/>
                <w:kern w:val="0"/>
                <w:sz w:val="24"/>
                <w:szCs w:val="24"/>
              </w:rPr>
              <w:t>　</w:t>
            </w:r>
          </w:p>
        </w:tc>
        <w:tc>
          <w:tcPr>
            <w:tcW w:w="375" w:type="pct"/>
            <w:tcBorders>
              <w:top w:val="nil"/>
              <w:left w:val="nil"/>
              <w:bottom w:val="single" w:color="auto" w:sz="4" w:space="0"/>
              <w:right w:val="single" w:color="auto" w:sz="4" w:space="0"/>
            </w:tcBorders>
            <w:shd w:val="clear" w:color="auto" w:fill="auto"/>
            <w:noWrap/>
            <w:vAlign w:val="center"/>
          </w:tcPr>
          <w:p w14:paraId="036094C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1101.84</w:t>
            </w:r>
            <w:r>
              <w:rPr>
                <w:rFonts w:ascii="Times New Roman" w:hAnsi="Times New Roman" w:eastAsia="仿宋_GB2312" w:cs="Times New Roman"/>
                <w:kern w:val="0"/>
                <w:sz w:val="24"/>
                <w:szCs w:val="24"/>
              </w:rPr>
              <w:t>　</w:t>
            </w:r>
          </w:p>
        </w:tc>
        <w:tc>
          <w:tcPr>
            <w:tcW w:w="329" w:type="pct"/>
            <w:tcBorders>
              <w:top w:val="nil"/>
              <w:left w:val="nil"/>
              <w:bottom w:val="single" w:color="auto" w:sz="4" w:space="0"/>
              <w:right w:val="single" w:color="auto" w:sz="4" w:space="0"/>
            </w:tcBorders>
            <w:shd w:val="clear" w:color="auto" w:fill="auto"/>
            <w:noWrap/>
            <w:vAlign w:val="center"/>
          </w:tcPr>
          <w:p w14:paraId="043C6D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5C1542A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18" w:type="pct"/>
            <w:tcBorders>
              <w:top w:val="nil"/>
              <w:left w:val="nil"/>
              <w:bottom w:val="single" w:color="auto" w:sz="4" w:space="0"/>
              <w:right w:val="single" w:color="auto" w:sz="4" w:space="0"/>
            </w:tcBorders>
            <w:shd w:val="clear" w:color="auto" w:fill="auto"/>
            <w:noWrap/>
            <w:vAlign w:val="center"/>
          </w:tcPr>
          <w:p w14:paraId="540F22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8" w:type="pct"/>
            <w:tcBorders>
              <w:top w:val="nil"/>
              <w:left w:val="nil"/>
              <w:bottom w:val="single" w:color="auto" w:sz="4" w:space="0"/>
              <w:right w:val="single" w:color="auto" w:sz="4" w:space="0"/>
            </w:tcBorders>
            <w:shd w:val="clear" w:color="auto" w:fill="auto"/>
            <w:noWrap/>
            <w:vAlign w:val="center"/>
          </w:tcPr>
          <w:p w14:paraId="77A478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CDEC01F">
        <w:tblPrEx>
          <w:tblCellMar>
            <w:top w:w="0" w:type="dxa"/>
            <w:left w:w="108" w:type="dxa"/>
            <w:bottom w:w="0" w:type="dxa"/>
            <w:right w:w="108" w:type="dxa"/>
          </w:tblCellMar>
        </w:tblPrEx>
        <w:trPr>
          <w:trHeight w:val="269"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262D16">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2013850</w:t>
            </w:r>
          </w:p>
        </w:tc>
        <w:tc>
          <w:tcPr>
            <w:tcW w:w="1527" w:type="pct"/>
            <w:tcBorders>
              <w:top w:val="nil"/>
              <w:left w:val="nil"/>
              <w:bottom w:val="single" w:color="auto" w:sz="4" w:space="0"/>
              <w:right w:val="single" w:color="auto" w:sz="4" w:space="0"/>
            </w:tcBorders>
            <w:shd w:val="clear" w:color="000000" w:fill="FFFFFF"/>
            <w:noWrap/>
            <w:vAlign w:val="center"/>
          </w:tcPr>
          <w:p w14:paraId="04AB1A22">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事业运行</w:t>
            </w:r>
          </w:p>
        </w:tc>
        <w:tc>
          <w:tcPr>
            <w:tcW w:w="509" w:type="pct"/>
            <w:tcBorders>
              <w:top w:val="nil"/>
              <w:left w:val="nil"/>
              <w:bottom w:val="single" w:color="auto" w:sz="4" w:space="0"/>
              <w:right w:val="single" w:color="auto" w:sz="4" w:space="0"/>
            </w:tcBorders>
            <w:shd w:val="clear" w:color="auto" w:fill="auto"/>
            <w:noWrap/>
            <w:vAlign w:val="center"/>
          </w:tcPr>
          <w:p w14:paraId="14E7AE9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1101.84</w:t>
            </w:r>
            <w:r>
              <w:rPr>
                <w:rFonts w:ascii="Times New Roman" w:hAnsi="Times New Roman" w:eastAsia="仿宋_GB2312" w:cs="Times New Roman"/>
                <w:kern w:val="0"/>
                <w:sz w:val="24"/>
                <w:szCs w:val="24"/>
              </w:rPr>
              <w:t>　</w:t>
            </w:r>
          </w:p>
        </w:tc>
        <w:tc>
          <w:tcPr>
            <w:tcW w:w="375" w:type="pct"/>
            <w:tcBorders>
              <w:top w:val="nil"/>
              <w:left w:val="nil"/>
              <w:bottom w:val="single" w:color="auto" w:sz="4" w:space="0"/>
              <w:right w:val="single" w:color="auto" w:sz="4" w:space="0"/>
            </w:tcBorders>
            <w:shd w:val="clear" w:color="auto" w:fill="auto"/>
            <w:noWrap/>
            <w:vAlign w:val="center"/>
          </w:tcPr>
          <w:p w14:paraId="58B29EB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1101.84</w:t>
            </w:r>
            <w:r>
              <w:rPr>
                <w:rFonts w:ascii="Times New Roman" w:hAnsi="Times New Roman" w:eastAsia="仿宋_GB2312" w:cs="Times New Roman"/>
                <w:kern w:val="0"/>
                <w:sz w:val="24"/>
                <w:szCs w:val="24"/>
              </w:rPr>
              <w:t>　</w:t>
            </w:r>
          </w:p>
        </w:tc>
        <w:tc>
          <w:tcPr>
            <w:tcW w:w="329" w:type="pct"/>
            <w:tcBorders>
              <w:top w:val="nil"/>
              <w:left w:val="nil"/>
              <w:bottom w:val="single" w:color="auto" w:sz="4" w:space="0"/>
              <w:right w:val="single" w:color="auto" w:sz="4" w:space="0"/>
            </w:tcBorders>
            <w:shd w:val="clear" w:color="auto" w:fill="auto"/>
            <w:noWrap/>
            <w:vAlign w:val="center"/>
          </w:tcPr>
          <w:p w14:paraId="060BDC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07E62B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18" w:type="pct"/>
            <w:tcBorders>
              <w:top w:val="nil"/>
              <w:left w:val="nil"/>
              <w:bottom w:val="single" w:color="auto" w:sz="4" w:space="0"/>
              <w:right w:val="single" w:color="auto" w:sz="4" w:space="0"/>
            </w:tcBorders>
            <w:shd w:val="clear" w:color="auto" w:fill="auto"/>
            <w:noWrap/>
            <w:vAlign w:val="center"/>
          </w:tcPr>
          <w:p w14:paraId="142F72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8" w:type="pct"/>
            <w:tcBorders>
              <w:top w:val="nil"/>
              <w:left w:val="nil"/>
              <w:bottom w:val="single" w:color="auto" w:sz="4" w:space="0"/>
              <w:right w:val="single" w:color="auto" w:sz="4" w:space="0"/>
            </w:tcBorders>
            <w:shd w:val="clear" w:color="auto" w:fill="auto"/>
            <w:noWrap/>
            <w:vAlign w:val="center"/>
          </w:tcPr>
          <w:p w14:paraId="0CD7D8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76D1DD9">
        <w:tblPrEx>
          <w:tblCellMar>
            <w:top w:w="0" w:type="dxa"/>
            <w:left w:w="108" w:type="dxa"/>
            <w:bottom w:w="0" w:type="dxa"/>
            <w:right w:w="108" w:type="dxa"/>
          </w:tblCellMar>
        </w:tblPrEx>
        <w:trPr>
          <w:trHeight w:val="269"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EA410B">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20199</w:t>
            </w:r>
          </w:p>
        </w:tc>
        <w:tc>
          <w:tcPr>
            <w:tcW w:w="1527" w:type="pct"/>
            <w:tcBorders>
              <w:top w:val="nil"/>
              <w:left w:val="nil"/>
              <w:bottom w:val="single" w:color="auto" w:sz="4" w:space="0"/>
              <w:right w:val="single" w:color="auto" w:sz="4" w:space="0"/>
            </w:tcBorders>
            <w:shd w:val="clear" w:color="000000" w:fill="FFFFFF"/>
            <w:noWrap/>
            <w:vAlign w:val="center"/>
          </w:tcPr>
          <w:p w14:paraId="11F14F5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其他一般公共服务支出</w:t>
            </w:r>
          </w:p>
        </w:tc>
        <w:tc>
          <w:tcPr>
            <w:tcW w:w="509" w:type="pct"/>
            <w:tcBorders>
              <w:top w:val="nil"/>
              <w:left w:val="nil"/>
              <w:bottom w:val="single" w:color="auto" w:sz="4" w:space="0"/>
              <w:right w:val="single" w:color="auto" w:sz="4" w:space="0"/>
            </w:tcBorders>
            <w:shd w:val="clear" w:color="auto" w:fill="auto"/>
            <w:noWrap/>
            <w:vAlign w:val="center"/>
          </w:tcPr>
          <w:p w14:paraId="1B2C1F7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　</w:t>
            </w:r>
          </w:p>
        </w:tc>
        <w:tc>
          <w:tcPr>
            <w:tcW w:w="375" w:type="pct"/>
            <w:tcBorders>
              <w:top w:val="nil"/>
              <w:left w:val="nil"/>
              <w:bottom w:val="single" w:color="auto" w:sz="4" w:space="0"/>
              <w:right w:val="single" w:color="auto" w:sz="4" w:space="0"/>
            </w:tcBorders>
            <w:shd w:val="clear" w:color="auto" w:fill="auto"/>
            <w:noWrap/>
            <w:vAlign w:val="center"/>
          </w:tcPr>
          <w:p w14:paraId="5FAB7C8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　</w:t>
            </w:r>
          </w:p>
        </w:tc>
        <w:tc>
          <w:tcPr>
            <w:tcW w:w="329" w:type="pct"/>
            <w:tcBorders>
              <w:top w:val="nil"/>
              <w:left w:val="nil"/>
              <w:bottom w:val="single" w:color="auto" w:sz="4" w:space="0"/>
              <w:right w:val="single" w:color="auto" w:sz="4" w:space="0"/>
            </w:tcBorders>
            <w:shd w:val="clear" w:color="auto" w:fill="auto"/>
            <w:noWrap/>
            <w:vAlign w:val="center"/>
          </w:tcPr>
          <w:p w14:paraId="38D675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77671AF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18" w:type="pct"/>
            <w:tcBorders>
              <w:top w:val="nil"/>
              <w:left w:val="nil"/>
              <w:bottom w:val="single" w:color="auto" w:sz="4" w:space="0"/>
              <w:right w:val="single" w:color="auto" w:sz="4" w:space="0"/>
            </w:tcBorders>
            <w:shd w:val="clear" w:color="auto" w:fill="auto"/>
            <w:noWrap/>
            <w:vAlign w:val="center"/>
          </w:tcPr>
          <w:p w14:paraId="37F00B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8" w:type="pct"/>
            <w:tcBorders>
              <w:top w:val="nil"/>
              <w:left w:val="nil"/>
              <w:bottom w:val="single" w:color="auto" w:sz="4" w:space="0"/>
              <w:right w:val="single" w:color="auto" w:sz="4" w:space="0"/>
            </w:tcBorders>
            <w:shd w:val="clear" w:color="auto" w:fill="auto"/>
            <w:noWrap/>
            <w:vAlign w:val="center"/>
          </w:tcPr>
          <w:p w14:paraId="518601E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F890680">
        <w:tblPrEx>
          <w:tblCellMar>
            <w:top w:w="0" w:type="dxa"/>
            <w:left w:w="108" w:type="dxa"/>
            <w:bottom w:w="0" w:type="dxa"/>
            <w:right w:w="108" w:type="dxa"/>
          </w:tblCellMar>
        </w:tblPrEx>
        <w:trPr>
          <w:trHeight w:val="269"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1E356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2019999</w:t>
            </w:r>
          </w:p>
        </w:tc>
        <w:tc>
          <w:tcPr>
            <w:tcW w:w="1527" w:type="pct"/>
            <w:tcBorders>
              <w:top w:val="nil"/>
              <w:left w:val="nil"/>
              <w:bottom w:val="single" w:color="auto" w:sz="4" w:space="0"/>
              <w:right w:val="single" w:color="auto" w:sz="4" w:space="0"/>
            </w:tcBorders>
            <w:shd w:val="clear" w:color="000000" w:fill="FFFFFF"/>
            <w:noWrap/>
            <w:vAlign w:val="center"/>
          </w:tcPr>
          <w:p w14:paraId="5E14054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其他一般公共服务支出</w:t>
            </w:r>
          </w:p>
        </w:tc>
        <w:tc>
          <w:tcPr>
            <w:tcW w:w="509" w:type="pct"/>
            <w:tcBorders>
              <w:top w:val="nil"/>
              <w:left w:val="nil"/>
              <w:bottom w:val="single" w:color="auto" w:sz="4" w:space="0"/>
              <w:right w:val="single" w:color="auto" w:sz="4" w:space="0"/>
            </w:tcBorders>
            <w:shd w:val="clear" w:color="auto" w:fill="auto"/>
            <w:noWrap/>
            <w:vAlign w:val="center"/>
          </w:tcPr>
          <w:p w14:paraId="4605B1F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　</w:t>
            </w:r>
          </w:p>
        </w:tc>
        <w:tc>
          <w:tcPr>
            <w:tcW w:w="375" w:type="pct"/>
            <w:tcBorders>
              <w:top w:val="nil"/>
              <w:left w:val="nil"/>
              <w:bottom w:val="single" w:color="auto" w:sz="4" w:space="0"/>
              <w:right w:val="single" w:color="auto" w:sz="4" w:space="0"/>
            </w:tcBorders>
            <w:shd w:val="clear" w:color="auto" w:fill="auto"/>
            <w:noWrap/>
            <w:vAlign w:val="center"/>
          </w:tcPr>
          <w:p w14:paraId="148B1C7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r>
              <w:rPr>
                <w:rFonts w:ascii="Times New Roman" w:hAnsi="Times New Roman" w:eastAsia="仿宋_GB2312" w:cs="Times New Roman"/>
                <w:kern w:val="0"/>
                <w:sz w:val="24"/>
                <w:szCs w:val="24"/>
              </w:rPr>
              <w:t>　</w:t>
            </w:r>
          </w:p>
        </w:tc>
        <w:tc>
          <w:tcPr>
            <w:tcW w:w="329" w:type="pct"/>
            <w:tcBorders>
              <w:top w:val="nil"/>
              <w:left w:val="nil"/>
              <w:bottom w:val="single" w:color="auto" w:sz="4" w:space="0"/>
              <w:right w:val="single" w:color="auto" w:sz="4" w:space="0"/>
            </w:tcBorders>
            <w:shd w:val="clear" w:color="auto" w:fill="auto"/>
            <w:noWrap/>
            <w:vAlign w:val="center"/>
          </w:tcPr>
          <w:p w14:paraId="3F69B9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0" w:type="pct"/>
            <w:tcBorders>
              <w:top w:val="nil"/>
              <w:left w:val="nil"/>
              <w:bottom w:val="single" w:color="auto" w:sz="4" w:space="0"/>
              <w:right w:val="single" w:color="auto" w:sz="4" w:space="0"/>
            </w:tcBorders>
            <w:shd w:val="clear" w:color="auto" w:fill="auto"/>
            <w:noWrap/>
            <w:vAlign w:val="center"/>
          </w:tcPr>
          <w:p w14:paraId="6D03C8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18" w:type="pct"/>
            <w:tcBorders>
              <w:top w:val="nil"/>
              <w:left w:val="nil"/>
              <w:bottom w:val="single" w:color="auto" w:sz="4" w:space="0"/>
              <w:right w:val="single" w:color="auto" w:sz="4" w:space="0"/>
            </w:tcBorders>
            <w:shd w:val="clear" w:color="auto" w:fill="auto"/>
            <w:noWrap/>
            <w:vAlign w:val="center"/>
          </w:tcPr>
          <w:p w14:paraId="7E0EFF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8" w:type="pct"/>
            <w:tcBorders>
              <w:top w:val="nil"/>
              <w:left w:val="nil"/>
              <w:bottom w:val="single" w:color="auto" w:sz="4" w:space="0"/>
              <w:right w:val="single" w:color="auto" w:sz="4" w:space="0"/>
            </w:tcBorders>
            <w:shd w:val="clear" w:color="auto" w:fill="auto"/>
            <w:noWrap/>
            <w:vAlign w:val="center"/>
          </w:tcPr>
          <w:p w14:paraId="7EDF9B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C507006">
        <w:tblPrEx>
          <w:tblCellMar>
            <w:top w:w="0" w:type="dxa"/>
            <w:left w:w="108" w:type="dxa"/>
            <w:bottom w:w="0" w:type="dxa"/>
            <w:right w:w="108" w:type="dxa"/>
          </w:tblCellMar>
        </w:tblPrEx>
        <w:trPr>
          <w:trHeight w:val="269"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38655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57A16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社会保障和就业支出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69481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16.16</w:t>
            </w:r>
            <w:r>
              <w:rPr>
                <w:rFonts w:ascii="Times New Roman" w:hAnsi="Times New Roman" w:eastAsia="仿宋_GB2312" w:cs="Times New Roman"/>
                <w:kern w:val="0"/>
                <w:sz w:val="24"/>
                <w:szCs w:val="24"/>
              </w:rPr>
              <w:t>　</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528E1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16.16</w:t>
            </w:r>
            <w:r>
              <w:rPr>
                <w:rFonts w:ascii="Times New Roman" w:hAnsi="Times New Roman" w:eastAsia="仿宋_GB2312" w:cs="Times New Roman"/>
                <w:kern w:val="0"/>
                <w:sz w:val="24"/>
                <w:szCs w:val="24"/>
              </w:rPr>
              <w:t>　</w:t>
            </w: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0A2E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98F0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80721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47FE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6C2BAD">
        <w:tblPrEx>
          <w:tblCellMar>
            <w:top w:w="0" w:type="dxa"/>
            <w:left w:w="108" w:type="dxa"/>
            <w:bottom w:w="0" w:type="dxa"/>
            <w:right w:w="108" w:type="dxa"/>
          </w:tblCellMar>
        </w:tblPrEx>
        <w:trPr>
          <w:trHeight w:val="317"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FC4B2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20805</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D4A13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行政事业单位养老支出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E00ED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12.96</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727FA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12.96</w:t>
            </w: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C16756">
            <w:pPr>
              <w:widowControl/>
              <w:jc w:val="right"/>
              <w:rPr>
                <w:rFonts w:ascii="Times New Roman" w:hAnsi="Times New Roman" w:eastAsia="仿宋_GB2312" w:cs="Times New Roman"/>
                <w:kern w:val="0"/>
                <w:sz w:val="24"/>
                <w:szCs w:val="24"/>
              </w:rPr>
            </w:pP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3CA1FC">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4708B7">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EAA190">
            <w:pPr>
              <w:widowControl/>
              <w:jc w:val="right"/>
              <w:rPr>
                <w:rFonts w:ascii="Times New Roman" w:hAnsi="Times New Roman" w:eastAsia="仿宋_GB2312" w:cs="Times New Roman"/>
                <w:kern w:val="0"/>
                <w:sz w:val="24"/>
                <w:szCs w:val="24"/>
              </w:rPr>
            </w:pPr>
          </w:p>
        </w:tc>
      </w:tr>
      <w:tr w14:paraId="317E97CB">
        <w:tblPrEx>
          <w:tblCellMar>
            <w:top w:w="0" w:type="dxa"/>
            <w:left w:w="108" w:type="dxa"/>
            <w:bottom w:w="0" w:type="dxa"/>
            <w:right w:w="108" w:type="dxa"/>
          </w:tblCellMar>
        </w:tblPrEx>
        <w:trPr>
          <w:trHeight w:val="269"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FA5E0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2080502</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8E6F4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事业单位离退休</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EDD6B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11.7</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3959F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11.7</w:t>
            </w: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76E55E">
            <w:pPr>
              <w:widowControl/>
              <w:jc w:val="right"/>
              <w:rPr>
                <w:rFonts w:ascii="Times New Roman" w:hAnsi="Times New Roman" w:eastAsia="仿宋_GB2312" w:cs="Times New Roman"/>
                <w:kern w:val="0"/>
                <w:sz w:val="24"/>
                <w:szCs w:val="24"/>
              </w:rPr>
            </w:pP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BB8B4B">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36F0E8">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50D6E7">
            <w:pPr>
              <w:widowControl/>
              <w:jc w:val="right"/>
              <w:rPr>
                <w:rFonts w:ascii="Times New Roman" w:hAnsi="Times New Roman" w:eastAsia="仿宋_GB2312" w:cs="Times New Roman"/>
                <w:kern w:val="0"/>
                <w:sz w:val="24"/>
                <w:szCs w:val="24"/>
              </w:rPr>
            </w:pPr>
          </w:p>
        </w:tc>
      </w:tr>
      <w:tr w14:paraId="0642BD4C">
        <w:tblPrEx>
          <w:tblCellMar>
            <w:top w:w="0" w:type="dxa"/>
            <w:left w:w="108" w:type="dxa"/>
            <w:bottom w:w="0" w:type="dxa"/>
            <w:right w:w="108" w:type="dxa"/>
          </w:tblCellMar>
        </w:tblPrEx>
        <w:trPr>
          <w:trHeight w:val="269"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C3679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2080505</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6291C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机关事业单位基本养老保险缴费支出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A2C4F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1.26</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8816A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1.26</w:t>
            </w: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A19DEA">
            <w:pPr>
              <w:widowControl/>
              <w:jc w:val="right"/>
              <w:rPr>
                <w:rFonts w:ascii="Times New Roman" w:hAnsi="Times New Roman" w:eastAsia="仿宋_GB2312" w:cs="Times New Roman"/>
                <w:kern w:val="0"/>
                <w:sz w:val="24"/>
                <w:szCs w:val="24"/>
              </w:rPr>
            </w:pP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31BBF9">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76AC6F">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885250">
            <w:pPr>
              <w:widowControl/>
              <w:jc w:val="right"/>
              <w:rPr>
                <w:rFonts w:ascii="Times New Roman" w:hAnsi="Times New Roman" w:eastAsia="仿宋_GB2312" w:cs="Times New Roman"/>
                <w:kern w:val="0"/>
                <w:sz w:val="24"/>
                <w:szCs w:val="24"/>
              </w:rPr>
            </w:pPr>
          </w:p>
        </w:tc>
      </w:tr>
      <w:tr w14:paraId="510CAC72">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907F5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20808</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B8421B">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抚恤</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B50E5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2.17</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41F30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2.17</w:t>
            </w: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8AA127">
            <w:pPr>
              <w:widowControl/>
              <w:jc w:val="right"/>
              <w:rPr>
                <w:rFonts w:ascii="Times New Roman" w:hAnsi="Times New Roman" w:eastAsia="仿宋_GB2312" w:cs="Times New Roman"/>
                <w:kern w:val="0"/>
                <w:sz w:val="24"/>
                <w:szCs w:val="24"/>
              </w:rPr>
            </w:pP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97A624">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D3D673">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FB9536">
            <w:pPr>
              <w:widowControl/>
              <w:jc w:val="right"/>
              <w:rPr>
                <w:rFonts w:ascii="Times New Roman" w:hAnsi="Times New Roman" w:eastAsia="仿宋_GB2312" w:cs="Times New Roman"/>
                <w:kern w:val="0"/>
                <w:sz w:val="24"/>
                <w:szCs w:val="24"/>
              </w:rPr>
            </w:pPr>
          </w:p>
        </w:tc>
      </w:tr>
      <w:tr w14:paraId="6884CA95">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33DD4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2080801</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562AB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死亡抚恤</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ACB65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2.17</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647B8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2.17</w:t>
            </w: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9EE267">
            <w:pPr>
              <w:widowControl/>
              <w:jc w:val="right"/>
              <w:rPr>
                <w:rFonts w:ascii="Times New Roman" w:hAnsi="Times New Roman" w:eastAsia="仿宋_GB2312" w:cs="Times New Roman"/>
                <w:kern w:val="0"/>
                <w:sz w:val="24"/>
                <w:szCs w:val="24"/>
              </w:rPr>
            </w:pP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474714">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4F700A">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469D25">
            <w:pPr>
              <w:widowControl/>
              <w:jc w:val="right"/>
              <w:rPr>
                <w:rFonts w:ascii="Times New Roman" w:hAnsi="Times New Roman" w:eastAsia="仿宋_GB2312" w:cs="Times New Roman"/>
                <w:kern w:val="0"/>
                <w:sz w:val="24"/>
                <w:szCs w:val="24"/>
              </w:rPr>
            </w:pPr>
          </w:p>
        </w:tc>
      </w:tr>
      <w:tr w14:paraId="13B7399C">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2D28C4">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20899</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903DA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其他社会保障和就业支出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595D7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1.02</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BE141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1.02</w:t>
            </w: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C13C2D">
            <w:pPr>
              <w:widowControl/>
              <w:jc w:val="right"/>
              <w:rPr>
                <w:rFonts w:hint="eastAsia" w:ascii="Times New Roman" w:hAnsi="Times New Roman" w:eastAsia="仿宋_GB2312" w:cs="Times New Roman"/>
                <w:kern w:val="0"/>
                <w:sz w:val="24"/>
                <w:szCs w:val="24"/>
                <w:lang w:eastAsia="zh-CN"/>
              </w:rPr>
            </w:pP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F890D4">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EF34D1">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415A39">
            <w:pPr>
              <w:widowControl/>
              <w:jc w:val="right"/>
              <w:rPr>
                <w:rFonts w:ascii="Times New Roman" w:hAnsi="Times New Roman" w:eastAsia="仿宋_GB2312" w:cs="Times New Roman"/>
                <w:kern w:val="0"/>
                <w:sz w:val="24"/>
                <w:szCs w:val="24"/>
              </w:rPr>
            </w:pPr>
          </w:p>
        </w:tc>
      </w:tr>
      <w:tr w14:paraId="624F8EB7">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BA0D44">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2089999</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93C54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其他社会保障和就业支出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0CC41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1.02</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98809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1.02</w:t>
            </w: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75D80E">
            <w:pPr>
              <w:widowControl/>
              <w:jc w:val="right"/>
              <w:rPr>
                <w:rFonts w:ascii="Times New Roman" w:hAnsi="Times New Roman" w:eastAsia="仿宋_GB2312" w:cs="Times New Roman"/>
                <w:kern w:val="0"/>
                <w:sz w:val="24"/>
                <w:szCs w:val="24"/>
              </w:rPr>
            </w:pP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5C6A20">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FA48CF">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9D25A8">
            <w:pPr>
              <w:widowControl/>
              <w:jc w:val="right"/>
              <w:rPr>
                <w:rFonts w:ascii="Times New Roman" w:hAnsi="Times New Roman" w:eastAsia="仿宋_GB2312" w:cs="Times New Roman"/>
                <w:kern w:val="0"/>
                <w:sz w:val="24"/>
                <w:szCs w:val="24"/>
              </w:rPr>
            </w:pPr>
          </w:p>
        </w:tc>
      </w:tr>
      <w:tr w14:paraId="4AC3AEC3">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B29C18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C3CD2B">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城乡社区支出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BD5FDB">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841.5</w:t>
            </w:r>
            <w:r>
              <w:rPr>
                <w:rFonts w:hint="eastAsia" w:ascii="Times New Roman" w:hAnsi="Times New Roman" w:eastAsia="仿宋_GB2312" w:cs="Times New Roman"/>
                <w:kern w:val="0"/>
                <w:sz w:val="24"/>
                <w:szCs w:val="24"/>
                <w:lang w:val="en-US" w:eastAsia="zh-CN"/>
              </w:rPr>
              <w:t>6</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0EF13C">
            <w:pPr>
              <w:widowControl/>
              <w:jc w:val="right"/>
              <w:rPr>
                <w:rFonts w:ascii="Times New Roman" w:hAnsi="Times New Roman" w:eastAsia="仿宋_GB2312" w:cs="Times New Roman"/>
                <w:kern w:val="0"/>
                <w:sz w:val="24"/>
                <w:szCs w:val="24"/>
              </w:rPr>
            </w:pP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AED526">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841.5</w:t>
            </w:r>
            <w:r>
              <w:rPr>
                <w:rFonts w:hint="eastAsia" w:ascii="Times New Roman" w:hAnsi="Times New Roman" w:eastAsia="仿宋_GB2312" w:cs="Times New Roman"/>
                <w:kern w:val="0"/>
                <w:sz w:val="24"/>
                <w:szCs w:val="24"/>
                <w:lang w:val="en-US" w:eastAsia="zh-CN"/>
              </w:rPr>
              <w:t>6</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DFB6C7">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AB2D23">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94D57E">
            <w:pPr>
              <w:widowControl/>
              <w:jc w:val="right"/>
              <w:rPr>
                <w:rFonts w:ascii="Times New Roman" w:hAnsi="Times New Roman" w:eastAsia="仿宋_GB2312" w:cs="Times New Roman"/>
                <w:kern w:val="0"/>
                <w:sz w:val="24"/>
                <w:szCs w:val="24"/>
              </w:rPr>
            </w:pPr>
          </w:p>
        </w:tc>
      </w:tr>
      <w:tr w14:paraId="34DA1B1C">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D66A1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21208</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C25B88">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国有土地使用权出让收入安排的支出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06E8A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590.44</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E72C4C">
            <w:pPr>
              <w:widowControl/>
              <w:jc w:val="right"/>
              <w:rPr>
                <w:rFonts w:ascii="Times New Roman" w:hAnsi="Times New Roman" w:eastAsia="仿宋_GB2312" w:cs="Times New Roman"/>
                <w:kern w:val="0"/>
                <w:sz w:val="24"/>
                <w:szCs w:val="24"/>
              </w:rPr>
            </w:pP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4DC25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590.44</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110DC4">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7D8937">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F419A3">
            <w:pPr>
              <w:widowControl/>
              <w:jc w:val="right"/>
              <w:rPr>
                <w:rFonts w:ascii="Times New Roman" w:hAnsi="Times New Roman" w:eastAsia="仿宋_GB2312" w:cs="Times New Roman"/>
                <w:kern w:val="0"/>
                <w:sz w:val="24"/>
                <w:szCs w:val="24"/>
              </w:rPr>
            </w:pPr>
          </w:p>
        </w:tc>
      </w:tr>
      <w:tr w14:paraId="7CCDFB00">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C4958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2120801</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1A438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征地和拆迁补偿支出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76D86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590.44</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9B77D3">
            <w:pPr>
              <w:widowControl/>
              <w:jc w:val="right"/>
              <w:rPr>
                <w:rFonts w:ascii="Times New Roman" w:hAnsi="Times New Roman" w:eastAsia="仿宋_GB2312" w:cs="Times New Roman"/>
                <w:kern w:val="0"/>
                <w:sz w:val="24"/>
                <w:szCs w:val="24"/>
              </w:rPr>
            </w:pP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C2FD7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590.44</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993576">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CE2979">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349250">
            <w:pPr>
              <w:widowControl/>
              <w:jc w:val="right"/>
              <w:rPr>
                <w:rFonts w:ascii="Times New Roman" w:hAnsi="Times New Roman" w:eastAsia="仿宋_GB2312" w:cs="Times New Roman"/>
                <w:kern w:val="0"/>
                <w:sz w:val="24"/>
                <w:szCs w:val="24"/>
              </w:rPr>
            </w:pPr>
          </w:p>
        </w:tc>
      </w:tr>
      <w:tr w14:paraId="206F4DE3">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EC78F7">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21213</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1BD9C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城市基础设施配套费安排的支出</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B2679A">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251.1</w:t>
            </w:r>
            <w:r>
              <w:rPr>
                <w:rFonts w:hint="eastAsia" w:ascii="Times New Roman" w:hAnsi="Times New Roman" w:eastAsia="仿宋_GB2312" w:cs="Times New Roman"/>
                <w:kern w:val="0"/>
                <w:sz w:val="24"/>
                <w:szCs w:val="24"/>
                <w:lang w:val="en-US" w:eastAsia="zh-CN"/>
              </w:rPr>
              <w:t>2</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7990A2">
            <w:pPr>
              <w:widowControl/>
              <w:jc w:val="right"/>
              <w:rPr>
                <w:rFonts w:ascii="Times New Roman" w:hAnsi="Times New Roman" w:eastAsia="仿宋_GB2312" w:cs="Times New Roman"/>
                <w:kern w:val="0"/>
                <w:sz w:val="24"/>
                <w:szCs w:val="24"/>
              </w:rPr>
            </w:pP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CCF3AF">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251.1</w:t>
            </w:r>
            <w:r>
              <w:rPr>
                <w:rFonts w:hint="eastAsia" w:ascii="Times New Roman" w:hAnsi="Times New Roman" w:eastAsia="仿宋_GB2312" w:cs="Times New Roman"/>
                <w:kern w:val="0"/>
                <w:sz w:val="24"/>
                <w:szCs w:val="24"/>
                <w:lang w:val="en-US" w:eastAsia="zh-CN"/>
              </w:rPr>
              <w:t>2</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EE6775">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EC4BFE">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E5BBAA">
            <w:pPr>
              <w:widowControl/>
              <w:jc w:val="right"/>
              <w:rPr>
                <w:rFonts w:ascii="Times New Roman" w:hAnsi="Times New Roman" w:eastAsia="仿宋_GB2312" w:cs="Times New Roman"/>
                <w:kern w:val="0"/>
                <w:sz w:val="24"/>
                <w:szCs w:val="24"/>
              </w:rPr>
            </w:pPr>
          </w:p>
        </w:tc>
      </w:tr>
      <w:tr w14:paraId="14CB264F">
        <w:tblPrEx>
          <w:tblCellMar>
            <w:top w:w="0" w:type="dxa"/>
            <w:left w:w="108" w:type="dxa"/>
            <w:bottom w:w="0" w:type="dxa"/>
            <w:right w:w="108" w:type="dxa"/>
          </w:tblCellMar>
        </w:tblPrEx>
        <w:trPr>
          <w:trHeight w:val="278" w:hRule="atLeast"/>
          <w:jc w:val="center"/>
        </w:trPr>
        <w:tc>
          <w:tcPr>
            <w:tcW w:w="7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28DB32">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2121301</w:t>
            </w:r>
          </w:p>
        </w:tc>
        <w:tc>
          <w:tcPr>
            <w:tcW w:w="152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C4152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城市公共设施</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70208E">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251.1</w:t>
            </w:r>
            <w:r>
              <w:rPr>
                <w:rFonts w:hint="eastAsia" w:ascii="Times New Roman" w:hAnsi="Times New Roman" w:eastAsia="仿宋_GB2312" w:cs="Times New Roman"/>
                <w:kern w:val="0"/>
                <w:sz w:val="24"/>
                <w:szCs w:val="24"/>
                <w:lang w:val="en-US" w:eastAsia="zh-CN"/>
              </w:rPr>
              <w:t>2</w:t>
            </w:r>
          </w:p>
        </w:tc>
        <w:tc>
          <w:tcPr>
            <w:tcW w:w="3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B82AC0">
            <w:pPr>
              <w:widowControl/>
              <w:jc w:val="right"/>
              <w:rPr>
                <w:rFonts w:ascii="Times New Roman" w:hAnsi="Times New Roman" w:eastAsia="仿宋_GB2312" w:cs="Times New Roman"/>
                <w:kern w:val="0"/>
                <w:sz w:val="24"/>
                <w:szCs w:val="24"/>
              </w:rPr>
            </w:pPr>
          </w:p>
        </w:tc>
        <w:tc>
          <w:tcPr>
            <w:tcW w:w="3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14E954">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251.1</w:t>
            </w:r>
            <w:r>
              <w:rPr>
                <w:rFonts w:hint="eastAsia" w:ascii="Times New Roman" w:hAnsi="Times New Roman" w:eastAsia="仿宋_GB2312" w:cs="Times New Roman"/>
                <w:kern w:val="0"/>
                <w:sz w:val="24"/>
                <w:szCs w:val="24"/>
                <w:lang w:val="en-US" w:eastAsia="zh-CN"/>
              </w:rPr>
              <w:t>2</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61583A">
            <w:pPr>
              <w:widowControl/>
              <w:jc w:val="right"/>
              <w:rPr>
                <w:rFonts w:ascii="Times New Roman" w:hAnsi="Times New Roman" w:eastAsia="仿宋_GB2312" w:cs="Times New Roman"/>
                <w:kern w:val="0"/>
                <w:sz w:val="24"/>
                <w:szCs w:val="24"/>
              </w:rPr>
            </w:pPr>
          </w:p>
        </w:tc>
        <w:tc>
          <w:tcPr>
            <w:tcW w:w="3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71AFDC">
            <w:pPr>
              <w:widowControl/>
              <w:jc w:val="right"/>
              <w:rPr>
                <w:rFonts w:ascii="Times New Roman" w:hAnsi="Times New Roman" w:eastAsia="仿宋_GB2312" w:cs="Times New Roman"/>
                <w:kern w:val="0"/>
                <w:sz w:val="24"/>
                <w:szCs w:val="24"/>
              </w:rPr>
            </w:pPr>
          </w:p>
        </w:tc>
        <w:tc>
          <w:tcPr>
            <w:tcW w:w="7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6FEE92">
            <w:pPr>
              <w:widowControl/>
              <w:jc w:val="right"/>
              <w:rPr>
                <w:rFonts w:ascii="Times New Roman" w:hAnsi="Times New Roman" w:eastAsia="仿宋_GB2312" w:cs="Times New Roman"/>
                <w:kern w:val="0"/>
                <w:sz w:val="24"/>
                <w:szCs w:val="24"/>
              </w:rPr>
            </w:pPr>
          </w:p>
        </w:tc>
      </w:tr>
    </w:tbl>
    <w:p w14:paraId="3BF84CB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DC080A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955C42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5E540D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73286B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B6ADF2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F4D0FA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1126"/>
        <w:gridCol w:w="2856"/>
        <w:gridCol w:w="616"/>
        <w:gridCol w:w="696"/>
        <w:gridCol w:w="1517"/>
        <w:gridCol w:w="1507"/>
        <w:gridCol w:w="1770"/>
      </w:tblGrid>
      <w:tr w14:paraId="3AC49C1A">
        <w:tblPrEx>
          <w:tblCellMar>
            <w:top w:w="0" w:type="dxa"/>
            <w:left w:w="108" w:type="dxa"/>
            <w:bottom w:w="0" w:type="dxa"/>
            <w:right w:w="108" w:type="dxa"/>
          </w:tblCellMar>
        </w:tblPrEx>
        <w:trPr>
          <w:trHeight w:val="38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28E11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9722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925D042">
        <w:tblPrEx>
          <w:tblCellMar>
            <w:top w:w="0" w:type="dxa"/>
            <w:left w:w="108" w:type="dxa"/>
            <w:bottom w:w="0" w:type="dxa"/>
            <w:right w:w="108" w:type="dxa"/>
          </w:tblCellMar>
        </w:tblPrEx>
        <w:trPr>
          <w:trHeight w:val="87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0A64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A3C0FB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58D51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2F046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42C0CE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DD6CD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B6D1A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328D7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D2B4D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16EB333">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E0CF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0908E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836DD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B0EC4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E2424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6F7E3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DDAB7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1F540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C860F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6569004">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5F19C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DFC7F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6CD8BAF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1120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B2C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F51DE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A856D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5FF36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1103.84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B7ACA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1103.84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D52FD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841.5</w:t>
            </w:r>
            <w:r>
              <w:rPr>
                <w:rFonts w:hint="eastAsia" w:ascii="Times New Roman" w:hAnsi="Times New Roman" w:eastAsia="仿宋_GB2312" w:cs="Times New Roman"/>
                <w:kern w:val="0"/>
                <w:sz w:val="22"/>
                <w:lang w:val="en-US" w:eastAsia="zh-CN"/>
              </w:rPr>
              <w:t>6</w:t>
            </w:r>
          </w:p>
        </w:tc>
      </w:tr>
      <w:tr w14:paraId="6C29A4AD">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C4ECB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06736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9BB761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841.5</w:t>
            </w:r>
            <w:r>
              <w:rPr>
                <w:rFonts w:hint="eastAsia" w:ascii="Times New Roman" w:hAnsi="Times New Roman" w:eastAsia="仿宋_GB2312" w:cs="Times New Roman"/>
                <w:kern w:val="0"/>
                <w:sz w:val="22"/>
                <w:lang w:val="en-US" w:eastAsia="zh-CN"/>
              </w:rPr>
              <w:t>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FA8A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92D1D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14E314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D718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4EB9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211C2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A205CE">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C834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7A33B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37FB488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CEC1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051FA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153EB7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EED5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688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575CD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4BF3AB">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8018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45A6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513797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F2AF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8378B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6924F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9254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2BD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EC423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8B6BCE">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0B499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2358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78064B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05F4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8C7E2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434202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908E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A687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167D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CDB12C">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9AB3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7450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E7256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DF44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2B1EA9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12360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A3DE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832D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86B5D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B09094">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96E4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E184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56036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EB2D20">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31490F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11744F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7BF4E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F560B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10CC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B1CB23">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D177C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50F0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4A667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FA2D9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highlight w:val="none"/>
                <w:lang w:eastAsia="zh-CN"/>
              </w:rPr>
              <w:t>八、</w:t>
            </w:r>
            <w:r>
              <w:rPr>
                <w:rFonts w:hint="eastAsia" w:ascii="Times New Roman" w:hAnsi="Times New Roman" w:eastAsia="仿宋_GB2312" w:cs="Times New Roman"/>
                <w:kern w:val="0"/>
                <w:sz w:val="22"/>
                <w:highlight w:val="none"/>
              </w:rPr>
              <w:t>城乡社区支出</w:t>
            </w:r>
          </w:p>
        </w:tc>
        <w:tc>
          <w:tcPr>
            <w:tcW w:w="0" w:type="auto"/>
            <w:tcBorders>
              <w:top w:val="nil"/>
              <w:left w:val="nil"/>
              <w:bottom w:val="single" w:color="auto" w:sz="4" w:space="0"/>
              <w:right w:val="single" w:color="auto" w:sz="4" w:space="0"/>
            </w:tcBorders>
            <w:shd w:val="clear" w:color="auto" w:fill="auto"/>
            <w:noWrap/>
            <w:vAlign w:val="center"/>
          </w:tcPr>
          <w:p w14:paraId="4E0565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54E5C7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27EF86">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841.5</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14:paraId="5A23B42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841.5</w:t>
            </w:r>
            <w:r>
              <w:rPr>
                <w:rFonts w:hint="eastAsia" w:ascii="Times New Roman" w:hAnsi="Times New Roman" w:eastAsia="仿宋_GB2312" w:cs="Times New Roman"/>
                <w:kern w:val="0"/>
                <w:sz w:val="22"/>
                <w:lang w:val="en-US" w:eastAsia="zh-CN"/>
              </w:rPr>
              <w:t>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826E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360CB2">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3EA6E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78C310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116DCCB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1961.56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380F1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72B71D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FAB30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BC11B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1961.56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252AD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1120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04803D">
            <w:pPr>
              <w:widowControl/>
              <w:jc w:val="left"/>
              <w:rPr>
                <w:rFonts w:hint="eastAsia"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 xml:space="preserve"> </w:t>
            </w:r>
            <w:r>
              <w:rPr>
                <w:rFonts w:hint="eastAsia" w:ascii="Times New Roman" w:hAnsi="Times New Roman" w:eastAsia="仿宋_GB2312" w:cs="Times New Roman"/>
                <w:b/>
                <w:bCs/>
                <w:kern w:val="0"/>
                <w:sz w:val="22"/>
              </w:rPr>
              <w:t>841.5</w:t>
            </w:r>
            <w:r>
              <w:rPr>
                <w:rFonts w:hint="eastAsia" w:ascii="Times New Roman" w:hAnsi="Times New Roman" w:eastAsia="仿宋_GB2312" w:cs="Times New Roman"/>
                <w:b/>
                <w:bCs/>
                <w:kern w:val="0"/>
                <w:sz w:val="22"/>
                <w:lang w:val="en-US" w:eastAsia="zh-CN"/>
              </w:rPr>
              <w:t>6</w:t>
            </w:r>
          </w:p>
        </w:tc>
      </w:tr>
      <w:tr w14:paraId="0F719C07">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9AA5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947D5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54C2D8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5728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D57A9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47A6BD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0D73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9D43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208A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F66119">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5C2A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EE2B6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B8AB8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22E6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8DAC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5B22BF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6C13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F666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E480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400B90">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30349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86BD7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BAA5BF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6EA0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E3BA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440E5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89BC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4207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EFDB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63FD37">
        <w:tblPrEx>
          <w:tblCellMar>
            <w:top w:w="0" w:type="dxa"/>
            <w:left w:w="108" w:type="dxa"/>
            <w:bottom w:w="0" w:type="dxa"/>
            <w:right w:w="108" w:type="dxa"/>
          </w:tblCellMar>
        </w:tblPrEx>
        <w:trPr>
          <w:trHeight w:val="38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5E9C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AC25D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7B8B0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41A36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E90B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9AF60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94F3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882E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37D1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03E7A5C">
        <w:tblPrEx>
          <w:tblCellMar>
            <w:top w:w="0" w:type="dxa"/>
            <w:left w:w="108" w:type="dxa"/>
            <w:bottom w:w="0" w:type="dxa"/>
            <w:right w:w="108" w:type="dxa"/>
          </w:tblCellMar>
        </w:tblPrEx>
        <w:trPr>
          <w:trHeight w:val="391"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8D0834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FF88F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227952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1961.56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C33D38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D271A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401B5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CD9A19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1961.56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22CB9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rPr>
              <w:t>1120</w:t>
            </w:r>
          </w:p>
        </w:tc>
        <w:tc>
          <w:tcPr>
            <w:tcW w:w="0" w:type="auto"/>
            <w:tcBorders>
              <w:top w:val="nil"/>
              <w:left w:val="nil"/>
              <w:bottom w:val="single" w:color="auto" w:sz="4" w:space="0"/>
              <w:right w:val="single" w:color="auto" w:sz="4" w:space="0"/>
            </w:tcBorders>
            <w:shd w:val="clear" w:color="auto" w:fill="auto"/>
            <w:noWrap/>
            <w:vAlign w:val="center"/>
          </w:tcPr>
          <w:p w14:paraId="6D36C868">
            <w:pPr>
              <w:widowControl/>
              <w:jc w:val="left"/>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841.56</w:t>
            </w:r>
          </w:p>
        </w:tc>
      </w:tr>
    </w:tbl>
    <w:p w14:paraId="34D03E2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103E989">
      <w:pPr>
        <w:widowControl/>
        <w:jc w:val="center"/>
        <w:rPr>
          <w:rFonts w:ascii="Times New Roman" w:hAnsi="Times New Roman" w:eastAsia="方正小标宋_GBK" w:cs="Times New Roman"/>
          <w:kern w:val="0"/>
          <w:sz w:val="36"/>
          <w:szCs w:val="36"/>
        </w:rPr>
      </w:pPr>
    </w:p>
    <w:p w14:paraId="7328A4C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677907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26860E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89FA4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BD673F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49CAB8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4E57318">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06C290A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3939" w:type="dxa"/>
        <w:jc w:val="center"/>
        <w:tblLayout w:type="autofit"/>
        <w:tblCellMar>
          <w:top w:w="0" w:type="dxa"/>
          <w:left w:w="108" w:type="dxa"/>
          <w:bottom w:w="0" w:type="dxa"/>
          <w:right w:w="108" w:type="dxa"/>
        </w:tblCellMar>
      </w:tblPr>
      <w:tblGrid>
        <w:gridCol w:w="1175"/>
        <w:gridCol w:w="3459"/>
        <w:gridCol w:w="2940"/>
        <w:gridCol w:w="3422"/>
        <w:gridCol w:w="2943"/>
      </w:tblGrid>
      <w:tr w14:paraId="2B479171">
        <w:tblPrEx>
          <w:tblCellMar>
            <w:top w:w="0" w:type="dxa"/>
            <w:left w:w="108" w:type="dxa"/>
            <w:bottom w:w="0" w:type="dxa"/>
            <w:right w:w="108" w:type="dxa"/>
          </w:tblCellMar>
        </w:tblPrEx>
        <w:trPr>
          <w:trHeight w:val="423" w:hRule="atLeast"/>
          <w:jc w:val="center"/>
        </w:trPr>
        <w:tc>
          <w:tcPr>
            <w:tcW w:w="4634"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C18367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05" w:type="dxa"/>
            <w:gridSpan w:val="3"/>
            <w:tcBorders>
              <w:top w:val="single" w:color="auto" w:sz="8" w:space="0"/>
              <w:left w:val="nil"/>
              <w:bottom w:val="single" w:color="auto" w:sz="4" w:space="0"/>
              <w:right w:val="single" w:color="000000" w:sz="8" w:space="0"/>
            </w:tcBorders>
            <w:shd w:val="clear" w:color="auto" w:fill="auto"/>
            <w:vAlign w:val="center"/>
          </w:tcPr>
          <w:p w14:paraId="2D3737A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38B3CB0">
        <w:tblPrEx>
          <w:tblCellMar>
            <w:top w:w="0" w:type="dxa"/>
            <w:left w:w="108" w:type="dxa"/>
            <w:bottom w:w="0" w:type="dxa"/>
            <w:right w:w="108" w:type="dxa"/>
          </w:tblCellMar>
        </w:tblPrEx>
        <w:trPr>
          <w:trHeight w:val="312" w:hRule="exact"/>
          <w:jc w:val="center"/>
        </w:trPr>
        <w:tc>
          <w:tcPr>
            <w:tcW w:w="1175"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7FA1A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459" w:type="dxa"/>
            <w:vMerge w:val="restart"/>
            <w:tcBorders>
              <w:top w:val="nil"/>
              <w:left w:val="single" w:color="auto" w:sz="4" w:space="0"/>
              <w:bottom w:val="single" w:color="auto" w:sz="4" w:space="0"/>
              <w:right w:val="single" w:color="auto" w:sz="4" w:space="0"/>
            </w:tcBorders>
            <w:shd w:val="clear" w:color="auto" w:fill="auto"/>
            <w:vAlign w:val="center"/>
          </w:tcPr>
          <w:p w14:paraId="5F61A34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40" w:type="dxa"/>
            <w:vMerge w:val="restart"/>
            <w:tcBorders>
              <w:top w:val="nil"/>
              <w:left w:val="single" w:color="auto" w:sz="4" w:space="0"/>
              <w:bottom w:val="single" w:color="000000" w:sz="4" w:space="0"/>
              <w:right w:val="single" w:color="auto" w:sz="4" w:space="0"/>
            </w:tcBorders>
            <w:shd w:val="clear" w:color="auto" w:fill="auto"/>
            <w:vAlign w:val="center"/>
          </w:tcPr>
          <w:p w14:paraId="4CC47BE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22" w:type="dxa"/>
            <w:vMerge w:val="restart"/>
            <w:tcBorders>
              <w:top w:val="nil"/>
              <w:left w:val="single" w:color="auto" w:sz="4" w:space="0"/>
              <w:bottom w:val="single" w:color="000000" w:sz="4" w:space="0"/>
              <w:right w:val="single" w:color="auto" w:sz="4" w:space="0"/>
            </w:tcBorders>
            <w:shd w:val="clear" w:color="auto" w:fill="auto"/>
            <w:vAlign w:val="center"/>
          </w:tcPr>
          <w:p w14:paraId="73CB1DC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43" w:type="dxa"/>
            <w:vMerge w:val="restart"/>
            <w:tcBorders>
              <w:top w:val="nil"/>
              <w:left w:val="single" w:color="auto" w:sz="4" w:space="0"/>
              <w:bottom w:val="single" w:color="000000" w:sz="4" w:space="0"/>
              <w:right w:val="single" w:color="auto" w:sz="8" w:space="0"/>
            </w:tcBorders>
            <w:shd w:val="clear" w:color="auto" w:fill="auto"/>
            <w:vAlign w:val="center"/>
          </w:tcPr>
          <w:p w14:paraId="01691B2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7468E74">
        <w:tblPrEx>
          <w:tblCellMar>
            <w:top w:w="0" w:type="dxa"/>
            <w:left w:w="108" w:type="dxa"/>
            <w:bottom w:w="0" w:type="dxa"/>
            <w:right w:w="108" w:type="dxa"/>
          </w:tblCellMar>
        </w:tblPrEx>
        <w:trPr>
          <w:trHeight w:val="312" w:hRule="atLeast"/>
          <w:jc w:val="center"/>
        </w:trPr>
        <w:tc>
          <w:tcPr>
            <w:tcW w:w="1175" w:type="dxa"/>
            <w:vMerge w:val="continue"/>
            <w:tcBorders>
              <w:top w:val="single" w:color="auto" w:sz="4" w:space="0"/>
              <w:left w:val="single" w:color="auto" w:sz="8" w:space="0"/>
              <w:bottom w:val="single" w:color="auto" w:sz="4" w:space="0"/>
              <w:right w:val="single" w:color="auto" w:sz="4" w:space="0"/>
            </w:tcBorders>
            <w:vAlign w:val="center"/>
          </w:tcPr>
          <w:p w14:paraId="71EE8DE3">
            <w:pPr>
              <w:widowControl/>
              <w:jc w:val="left"/>
              <w:rPr>
                <w:rFonts w:ascii="Times New Roman" w:hAnsi="Times New Roman" w:eastAsia="仿宋_GB2312" w:cs="Times New Roman"/>
                <w:kern w:val="0"/>
                <w:szCs w:val="21"/>
              </w:rPr>
            </w:pPr>
          </w:p>
        </w:tc>
        <w:tc>
          <w:tcPr>
            <w:tcW w:w="3459" w:type="dxa"/>
            <w:vMerge w:val="continue"/>
            <w:tcBorders>
              <w:top w:val="nil"/>
              <w:left w:val="single" w:color="auto" w:sz="4" w:space="0"/>
              <w:bottom w:val="single" w:color="auto" w:sz="4" w:space="0"/>
              <w:right w:val="single" w:color="auto" w:sz="4" w:space="0"/>
            </w:tcBorders>
            <w:vAlign w:val="center"/>
          </w:tcPr>
          <w:p w14:paraId="4A9E68AA">
            <w:pPr>
              <w:widowControl/>
              <w:jc w:val="left"/>
              <w:rPr>
                <w:rFonts w:ascii="Times New Roman" w:hAnsi="Times New Roman" w:eastAsia="仿宋_GB2312" w:cs="Times New Roman"/>
                <w:kern w:val="0"/>
                <w:szCs w:val="21"/>
              </w:rPr>
            </w:pPr>
          </w:p>
        </w:tc>
        <w:tc>
          <w:tcPr>
            <w:tcW w:w="2940" w:type="dxa"/>
            <w:vMerge w:val="continue"/>
            <w:tcBorders>
              <w:top w:val="nil"/>
              <w:left w:val="single" w:color="auto" w:sz="4" w:space="0"/>
              <w:bottom w:val="single" w:color="000000" w:sz="4" w:space="0"/>
              <w:right w:val="single" w:color="auto" w:sz="4" w:space="0"/>
            </w:tcBorders>
            <w:vAlign w:val="center"/>
          </w:tcPr>
          <w:p w14:paraId="3F4FA693">
            <w:pPr>
              <w:widowControl/>
              <w:jc w:val="left"/>
              <w:rPr>
                <w:rFonts w:ascii="Times New Roman" w:hAnsi="Times New Roman" w:eastAsia="仿宋_GB2312" w:cs="Times New Roman"/>
                <w:kern w:val="0"/>
                <w:szCs w:val="21"/>
              </w:rPr>
            </w:pPr>
          </w:p>
        </w:tc>
        <w:tc>
          <w:tcPr>
            <w:tcW w:w="3422" w:type="dxa"/>
            <w:vMerge w:val="continue"/>
            <w:tcBorders>
              <w:top w:val="nil"/>
              <w:left w:val="single" w:color="auto" w:sz="4" w:space="0"/>
              <w:bottom w:val="single" w:color="000000" w:sz="4" w:space="0"/>
              <w:right w:val="single" w:color="auto" w:sz="4" w:space="0"/>
            </w:tcBorders>
            <w:vAlign w:val="center"/>
          </w:tcPr>
          <w:p w14:paraId="62F844E8">
            <w:pPr>
              <w:widowControl/>
              <w:jc w:val="left"/>
              <w:rPr>
                <w:rFonts w:ascii="Times New Roman" w:hAnsi="Times New Roman" w:eastAsia="仿宋_GB2312" w:cs="Times New Roman"/>
                <w:kern w:val="0"/>
                <w:szCs w:val="21"/>
              </w:rPr>
            </w:pPr>
          </w:p>
        </w:tc>
        <w:tc>
          <w:tcPr>
            <w:tcW w:w="2943" w:type="dxa"/>
            <w:vMerge w:val="continue"/>
            <w:tcBorders>
              <w:top w:val="nil"/>
              <w:left w:val="single" w:color="auto" w:sz="4" w:space="0"/>
              <w:bottom w:val="single" w:color="000000" w:sz="4" w:space="0"/>
              <w:right w:val="single" w:color="auto" w:sz="8" w:space="0"/>
            </w:tcBorders>
            <w:vAlign w:val="center"/>
          </w:tcPr>
          <w:p w14:paraId="3E96B9FB">
            <w:pPr>
              <w:widowControl/>
              <w:jc w:val="left"/>
              <w:rPr>
                <w:rFonts w:ascii="Times New Roman" w:hAnsi="Times New Roman" w:eastAsia="仿宋_GB2312" w:cs="Times New Roman"/>
                <w:kern w:val="0"/>
                <w:szCs w:val="21"/>
              </w:rPr>
            </w:pPr>
          </w:p>
        </w:tc>
      </w:tr>
      <w:tr w14:paraId="5E337726">
        <w:tblPrEx>
          <w:tblCellMar>
            <w:top w:w="0" w:type="dxa"/>
            <w:left w:w="108" w:type="dxa"/>
            <w:bottom w:w="0" w:type="dxa"/>
            <w:right w:w="108" w:type="dxa"/>
          </w:tblCellMar>
        </w:tblPrEx>
        <w:trPr>
          <w:trHeight w:val="312" w:hRule="atLeast"/>
          <w:jc w:val="center"/>
        </w:trPr>
        <w:tc>
          <w:tcPr>
            <w:tcW w:w="1175" w:type="dxa"/>
            <w:vMerge w:val="continue"/>
            <w:tcBorders>
              <w:top w:val="single" w:color="auto" w:sz="4" w:space="0"/>
              <w:left w:val="single" w:color="auto" w:sz="8" w:space="0"/>
              <w:bottom w:val="single" w:color="auto" w:sz="4" w:space="0"/>
              <w:right w:val="single" w:color="auto" w:sz="4" w:space="0"/>
            </w:tcBorders>
            <w:vAlign w:val="center"/>
          </w:tcPr>
          <w:p w14:paraId="2D2A7AE2">
            <w:pPr>
              <w:widowControl/>
              <w:jc w:val="left"/>
              <w:rPr>
                <w:rFonts w:ascii="Times New Roman" w:hAnsi="Times New Roman" w:eastAsia="仿宋_GB2312" w:cs="Times New Roman"/>
                <w:kern w:val="0"/>
                <w:szCs w:val="21"/>
              </w:rPr>
            </w:pPr>
          </w:p>
        </w:tc>
        <w:tc>
          <w:tcPr>
            <w:tcW w:w="3459" w:type="dxa"/>
            <w:vMerge w:val="continue"/>
            <w:tcBorders>
              <w:top w:val="nil"/>
              <w:left w:val="single" w:color="auto" w:sz="4" w:space="0"/>
              <w:bottom w:val="single" w:color="auto" w:sz="4" w:space="0"/>
              <w:right w:val="single" w:color="auto" w:sz="4" w:space="0"/>
            </w:tcBorders>
            <w:vAlign w:val="center"/>
          </w:tcPr>
          <w:p w14:paraId="78C29F03">
            <w:pPr>
              <w:widowControl/>
              <w:jc w:val="left"/>
              <w:rPr>
                <w:rFonts w:ascii="Times New Roman" w:hAnsi="Times New Roman" w:eastAsia="仿宋_GB2312" w:cs="Times New Roman"/>
                <w:kern w:val="0"/>
                <w:szCs w:val="21"/>
              </w:rPr>
            </w:pPr>
          </w:p>
        </w:tc>
        <w:tc>
          <w:tcPr>
            <w:tcW w:w="2940" w:type="dxa"/>
            <w:vMerge w:val="continue"/>
            <w:tcBorders>
              <w:top w:val="nil"/>
              <w:left w:val="single" w:color="auto" w:sz="4" w:space="0"/>
              <w:bottom w:val="single" w:color="000000" w:sz="4" w:space="0"/>
              <w:right w:val="single" w:color="auto" w:sz="4" w:space="0"/>
            </w:tcBorders>
            <w:vAlign w:val="center"/>
          </w:tcPr>
          <w:p w14:paraId="4F26672D">
            <w:pPr>
              <w:widowControl/>
              <w:jc w:val="left"/>
              <w:rPr>
                <w:rFonts w:ascii="Times New Roman" w:hAnsi="Times New Roman" w:eastAsia="仿宋_GB2312" w:cs="Times New Roman"/>
                <w:kern w:val="0"/>
                <w:szCs w:val="21"/>
              </w:rPr>
            </w:pPr>
          </w:p>
        </w:tc>
        <w:tc>
          <w:tcPr>
            <w:tcW w:w="3422" w:type="dxa"/>
            <w:vMerge w:val="continue"/>
            <w:tcBorders>
              <w:top w:val="nil"/>
              <w:left w:val="single" w:color="auto" w:sz="4" w:space="0"/>
              <w:bottom w:val="single" w:color="000000" w:sz="4" w:space="0"/>
              <w:right w:val="single" w:color="auto" w:sz="4" w:space="0"/>
            </w:tcBorders>
            <w:vAlign w:val="center"/>
          </w:tcPr>
          <w:p w14:paraId="5767539E">
            <w:pPr>
              <w:widowControl/>
              <w:jc w:val="left"/>
              <w:rPr>
                <w:rFonts w:ascii="Times New Roman" w:hAnsi="Times New Roman" w:eastAsia="仿宋_GB2312" w:cs="Times New Roman"/>
                <w:kern w:val="0"/>
                <w:szCs w:val="21"/>
              </w:rPr>
            </w:pPr>
          </w:p>
        </w:tc>
        <w:tc>
          <w:tcPr>
            <w:tcW w:w="2943" w:type="dxa"/>
            <w:vMerge w:val="continue"/>
            <w:tcBorders>
              <w:top w:val="nil"/>
              <w:left w:val="single" w:color="auto" w:sz="4" w:space="0"/>
              <w:bottom w:val="single" w:color="000000" w:sz="4" w:space="0"/>
              <w:right w:val="single" w:color="auto" w:sz="8" w:space="0"/>
            </w:tcBorders>
            <w:vAlign w:val="center"/>
          </w:tcPr>
          <w:p w14:paraId="52EBA46B">
            <w:pPr>
              <w:widowControl/>
              <w:jc w:val="left"/>
              <w:rPr>
                <w:rFonts w:ascii="Times New Roman" w:hAnsi="Times New Roman" w:eastAsia="仿宋_GB2312" w:cs="Times New Roman"/>
                <w:kern w:val="0"/>
                <w:szCs w:val="21"/>
              </w:rPr>
            </w:pPr>
          </w:p>
        </w:tc>
      </w:tr>
      <w:tr w14:paraId="0896892C">
        <w:tblPrEx>
          <w:tblCellMar>
            <w:top w:w="0" w:type="dxa"/>
            <w:left w:w="108" w:type="dxa"/>
            <w:bottom w:w="0" w:type="dxa"/>
            <w:right w:w="108" w:type="dxa"/>
          </w:tblCellMar>
        </w:tblPrEx>
        <w:trPr>
          <w:trHeight w:val="329" w:hRule="atLeast"/>
          <w:jc w:val="center"/>
        </w:trPr>
        <w:tc>
          <w:tcPr>
            <w:tcW w:w="463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41BEF9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40" w:type="dxa"/>
            <w:tcBorders>
              <w:top w:val="nil"/>
              <w:left w:val="nil"/>
              <w:bottom w:val="single" w:color="auto" w:sz="4" w:space="0"/>
              <w:right w:val="single" w:color="auto" w:sz="4" w:space="0"/>
            </w:tcBorders>
            <w:shd w:val="clear" w:color="auto" w:fill="auto"/>
            <w:vAlign w:val="center"/>
          </w:tcPr>
          <w:p w14:paraId="08E692D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22" w:type="dxa"/>
            <w:tcBorders>
              <w:top w:val="nil"/>
              <w:left w:val="nil"/>
              <w:bottom w:val="single" w:color="auto" w:sz="4" w:space="0"/>
              <w:right w:val="single" w:color="auto" w:sz="4" w:space="0"/>
            </w:tcBorders>
            <w:shd w:val="clear" w:color="auto" w:fill="auto"/>
            <w:vAlign w:val="center"/>
          </w:tcPr>
          <w:p w14:paraId="67EAA06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43" w:type="dxa"/>
            <w:tcBorders>
              <w:top w:val="nil"/>
              <w:left w:val="nil"/>
              <w:bottom w:val="single" w:color="auto" w:sz="4" w:space="0"/>
              <w:right w:val="single" w:color="auto" w:sz="8" w:space="0"/>
            </w:tcBorders>
            <w:shd w:val="clear" w:color="auto" w:fill="auto"/>
            <w:vAlign w:val="center"/>
          </w:tcPr>
          <w:p w14:paraId="779C132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9608BD6">
        <w:tblPrEx>
          <w:tblCellMar>
            <w:top w:w="0" w:type="dxa"/>
            <w:left w:w="108" w:type="dxa"/>
            <w:bottom w:w="0" w:type="dxa"/>
            <w:right w:w="108" w:type="dxa"/>
          </w:tblCellMar>
        </w:tblPrEx>
        <w:trPr>
          <w:trHeight w:val="329" w:hRule="atLeast"/>
          <w:jc w:val="center"/>
        </w:trPr>
        <w:tc>
          <w:tcPr>
            <w:tcW w:w="463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9EF90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940" w:type="dxa"/>
            <w:tcBorders>
              <w:top w:val="nil"/>
              <w:left w:val="nil"/>
              <w:bottom w:val="single" w:color="auto" w:sz="4" w:space="0"/>
              <w:right w:val="single" w:color="auto" w:sz="4" w:space="0"/>
            </w:tcBorders>
            <w:shd w:val="clear" w:color="auto" w:fill="auto"/>
            <w:vAlign w:val="center"/>
          </w:tcPr>
          <w:p w14:paraId="33B0FF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1120</w:t>
            </w:r>
          </w:p>
        </w:tc>
        <w:tc>
          <w:tcPr>
            <w:tcW w:w="3422" w:type="dxa"/>
            <w:tcBorders>
              <w:top w:val="nil"/>
              <w:left w:val="nil"/>
              <w:bottom w:val="single" w:color="auto" w:sz="4" w:space="0"/>
              <w:right w:val="single" w:color="auto" w:sz="4" w:space="0"/>
            </w:tcBorders>
            <w:shd w:val="clear" w:color="auto" w:fill="auto"/>
            <w:vAlign w:val="center"/>
          </w:tcPr>
          <w:p w14:paraId="1002ACCF">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1120</w:t>
            </w:r>
          </w:p>
        </w:tc>
        <w:tc>
          <w:tcPr>
            <w:tcW w:w="2943" w:type="dxa"/>
            <w:tcBorders>
              <w:top w:val="nil"/>
              <w:left w:val="nil"/>
              <w:bottom w:val="single" w:color="auto" w:sz="4" w:space="0"/>
              <w:right w:val="single" w:color="auto" w:sz="8" w:space="0"/>
            </w:tcBorders>
            <w:shd w:val="clear" w:color="auto" w:fill="auto"/>
            <w:vAlign w:val="center"/>
          </w:tcPr>
          <w:p w14:paraId="4EDBCB7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DE4D440">
        <w:tblPrEx>
          <w:tblCellMar>
            <w:top w:w="0" w:type="dxa"/>
            <w:left w:w="108" w:type="dxa"/>
            <w:bottom w:w="0" w:type="dxa"/>
            <w:right w:w="108" w:type="dxa"/>
          </w:tblCellMar>
        </w:tblPrEx>
        <w:trPr>
          <w:trHeight w:val="329"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2139F1B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w:t>
            </w:r>
          </w:p>
        </w:tc>
        <w:tc>
          <w:tcPr>
            <w:tcW w:w="3459" w:type="dxa"/>
            <w:tcBorders>
              <w:top w:val="nil"/>
              <w:left w:val="nil"/>
              <w:bottom w:val="single" w:color="auto" w:sz="4" w:space="0"/>
              <w:right w:val="single" w:color="auto" w:sz="4" w:space="0"/>
            </w:tcBorders>
            <w:shd w:val="clear" w:color="auto" w:fill="auto"/>
            <w:vAlign w:val="center"/>
          </w:tcPr>
          <w:p w14:paraId="675E27B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一般公共服务支出</w:t>
            </w:r>
          </w:p>
        </w:tc>
        <w:tc>
          <w:tcPr>
            <w:tcW w:w="2940" w:type="dxa"/>
            <w:tcBorders>
              <w:top w:val="nil"/>
              <w:left w:val="nil"/>
              <w:bottom w:val="single" w:color="auto" w:sz="4" w:space="0"/>
              <w:right w:val="single" w:color="auto" w:sz="4" w:space="0"/>
            </w:tcBorders>
            <w:shd w:val="clear" w:color="auto" w:fill="auto"/>
            <w:vAlign w:val="center"/>
          </w:tcPr>
          <w:p w14:paraId="7EBF606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1103.84</w:t>
            </w:r>
          </w:p>
        </w:tc>
        <w:tc>
          <w:tcPr>
            <w:tcW w:w="3422" w:type="dxa"/>
            <w:tcBorders>
              <w:top w:val="nil"/>
              <w:left w:val="nil"/>
              <w:bottom w:val="single" w:color="auto" w:sz="4" w:space="0"/>
              <w:right w:val="single" w:color="auto" w:sz="4" w:space="0"/>
            </w:tcBorders>
            <w:shd w:val="clear" w:color="auto" w:fill="auto"/>
            <w:vAlign w:val="center"/>
          </w:tcPr>
          <w:p w14:paraId="4609565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1103.84</w:t>
            </w:r>
          </w:p>
        </w:tc>
        <w:tc>
          <w:tcPr>
            <w:tcW w:w="2943" w:type="dxa"/>
            <w:tcBorders>
              <w:top w:val="nil"/>
              <w:left w:val="nil"/>
              <w:bottom w:val="single" w:color="auto" w:sz="4" w:space="0"/>
              <w:right w:val="single" w:color="auto" w:sz="8" w:space="0"/>
            </w:tcBorders>
            <w:shd w:val="clear" w:color="auto" w:fill="auto"/>
            <w:vAlign w:val="center"/>
          </w:tcPr>
          <w:p w14:paraId="7B5473E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5291421">
        <w:tblPrEx>
          <w:tblCellMar>
            <w:top w:w="0" w:type="dxa"/>
            <w:left w:w="108" w:type="dxa"/>
            <w:bottom w:w="0" w:type="dxa"/>
            <w:right w:w="108" w:type="dxa"/>
          </w:tblCellMar>
        </w:tblPrEx>
        <w:trPr>
          <w:trHeight w:val="329"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1A9BA7F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20138</w:t>
            </w:r>
          </w:p>
        </w:tc>
        <w:tc>
          <w:tcPr>
            <w:tcW w:w="3459" w:type="dxa"/>
            <w:tcBorders>
              <w:top w:val="nil"/>
              <w:left w:val="nil"/>
              <w:bottom w:val="single" w:color="auto" w:sz="4" w:space="0"/>
              <w:right w:val="single" w:color="auto" w:sz="4" w:space="0"/>
            </w:tcBorders>
            <w:shd w:val="clear" w:color="auto" w:fill="auto"/>
            <w:vAlign w:val="center"/>
          </w:tcPr>
          <w:p w14:paraId="6456D0A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市场监督管理事务</w:t>
            </w:r>
          </w:p>
        </w:tc>
        <w:tc>
          <w:tcPr>
            <w:tcW w:w="2940" w:type="dxa"/>
            <w:tcBorders>
              <w:top w:val="nil"/>
              <w:left w:val="nil"/>
              <w:bottom w:val="single" w:color="auto" w:sz="4" w:space="0"/>
              <w:right w:val="single" w:color="auto" w:sz="4" w:space="0"/>
            </w:tcBorders>
            <w:shd w:val="clear" w:color="auto" w:fill="auto"/>
            <w:vAlign w:val="center"/>
          </w:tcPr>
          <w:p w14:paraId="17430F6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1101.84</w:t>
            </w:r>
          </w:p>
        </w:tc>
        <w:tc>
          <w:tcPr>
            <w:tcW w:w="3422" w:type="dxa"/>
            <w:tcBorders>
              <w:top w:val="nil"/>
              <w:left w:val="nil"/>
              <w:bottom w:val="single" w:color="auto" w:sz="4" w:space="0"/>
              <w:right w:val="single" w:color="auto" w:sz="4" w:space="0"/>
            </w:tcBorders>
            <w:shd w:val="clear" w:color="auto" w:fill="auto"/>
            <w:vAlign w:val="center"/>
          </w:tcPr>
          <w:p w14:paraId="56C93CE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1101.84</w:t>
            </w:r>
          </w:p>
        </w:tc>
        <w:tc>
          <w:tcPr>
            <w:tcW w:w="2943" w:type="dxa"/>
            <w:tcBorders>
              <w:top w:val="nil"/>
              <w:left w:val="nil"/>
              <w:bottom w:val="single" w:color="auto" w:sz="4" w:space="0"/>
              <w:right w:val="single" w:color="auto" w:sz="8" w:space="0"/>
            </w:tcBorders>
            <w:shd w:val="clear" w:color="auto" w:fill="auto"/>
            <w:vAlign w:val="center"/>
          </w:tcPr>
          <w:p w14:paraId="15607E4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AC30BED">
        <w:tblPrEx>
          <w:tblCellMar>
            <w:top w:w="0" w:type="dxa"/>
            <w:left w:w="108" w:type="dxa"/>
            <w:bottom w:w="0" w:type="dxa"/>
            <w:right w:w="108" w:type="dxa"/>
          </w:tblCellMar>
        </w:tblPrEx>
        <w:trPr>
          <w:trHeight w:val="329"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682C690F">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2013850</w:t>
            </w:r>
          </w:p>
        </w:tc>
        <w:tc>
          <w:tcPr>
            <w:tcW w:w="3459" w:type="dxa"/>
            <w:tcBorders>
              <w:top w:val="nil"/>
              <w:left w:val="nil"/>
              <w:bottom w:val="single" w:color="auto" w:sz="4" w:space="0"/>
              <w:right w:val="single" w:color="auto" w:sz="4" w:space="0"/>
            </w:tcBorders>
            <w:shd w:val="clear" w:color="auto" w:fill="auto"/>
            <w:vAlign w:val="center"/>
          </w:tcPr>
          <w:p w14:paraId="23DDA27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事业运行</w:t>
            </w:r>
          </w:p>
        </w:tc>
        <w:tc>
          <w:tcPr>
            <w:tcW w:w="2940" w:type="dxa"/>
            <w:tcBorders>
              <w:top w:val="nil"/>
              <w:left w:val="nil"/>
              <w:bottom w:val="single" w:color="auto" w:sz="4" w:space="0"/>
              <w:right w:val="single" w:color="auto" w:sz="4" w:space="0"/>
            </w:tcBorders>
            <w:shd w:val="clear" w:color="auto" w:fill="auto"/>
            <w:vAlign w:val="center"/>
          </w:tcPr>
          <w:p w14:paraId="5CBD0C9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1101.84</w:t>
            </w:r>
          </w:p>
        </w:tc>
        <w:tc>
          <w:tcPr>
            <w:tcW w:w="3422" w:type="dxa"/>
            <w:tcBorders>
              <w:top w:val="nil"/>
              <w:left w:val="nil"/>
              <w:bottom w:val="single" w:color="auto" w:sz="4" w:space="0"/>
              <w:right w:val="single" w:color="auto" w:sz="4" w:space="0"/>
            </w:tcBorders>
            <w:shd w:val="clear" w:color="auto" w:fill="auto"/>
            <w:vAlign w:val="center"/>
          </w:tcPr>
          <w:p w14:paraId="00CA22C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1101.84</w:t>
            </w:r>
          </w:p>
        </w:tc>
        <w:tc>
          <w:tcPr>
            <w:tcW w:w="2943" w:type="dxa"/>
            <w:tcBorders>
              <w:top w:val="nil"/>
              <w:left w:val="nil"/>
              <w:bottom w:val="single" w:color="auto" w:sz="4" w:space="0"/>
              <w:right w:val="single" w:color="auto" w:sz="8" w:space="0"/>
            </w:tcBorders>
            <w:shd w:val="clear" w:color="auto" w:fill="auto"/>
            <w:vAlign w:val="center"/>
          </w:tcPr>
          <w:p w14:paraId="66DC5B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F57310D">
        <w:tblPrEx>
          <w:tblCellMar>
            <w:top w:w="0" w:type="dxa"/>
            <w:left w:w="108" w:type="dxa"/>
            <w:bottom w:w="0" w:type="dxa"/>
            <w:right w:w="108" w:type="dxa"/>
          </w:tblCellMar>
        </w:tblPrEx>
        <w:trPr>
          <w:trHeight w:val="329"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5B2D693C">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20199</w:t>
            </w:r>
          </w:p>
        </w:tc>
        <w:tc>
          <w:tcPr>
            <w:tcW w:w="3459" w:type="dxa"/>
            <w:tcBorders>
              <w:top w:val="nil"/>
              <w:left w:val="nil"/>
              <w:bottom w:val="single" w:color="auto" w:sz="4" w:space="0"/>
              <w:right w:val="single" w:color="auto" w:sz="4" w:space="0"/>
            </w:tcBorders>
            <w:shd w:val="clear" w:color="auto" w:fill="auto"/>
            <w:vAlign w:val="center"/>
          </w:tcPr>
          <w:p w14:paraId="5B33ACAD">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其他一般公共服务支出</w:t>
            </w:r>
          </w:p>
        </w:tc>
        <w:tc>
          <w:tcPr>
            <w:tcW w:w="2940" w:type="dxa"/>
            <w:tcBorders>
              <w:top w:val="nil"/>
              <w:left w:val="nil"/>
              <w:bottom w:val="single" w:color="auto" w:sz="4" w:space="0"/>
              <w:right w:val="single" w:color="auto" w:sz="4" w:space="0"/>
            </w:tcBorders>
            <w:shd w:val="clear" w:color="auto" w:fill="auto"/>
            <w:vAlign w:val="center"/>
          </w:tcPr>
          <w:p w14:paraId="00103D8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3422" w:type="dxa"/>
            <w:tcBorders>
              <w:top w:val="nil"/>
              <w:left w:val="nil"/>
              <w:bottom w:val="single" w:color="auto" w:sz="4" w:space="0"/>
              <w:right w:val="single" w:color="auto" w:sz="4" w:space="0"/>
            </w:tcBorders>
            <w:shd w:val="clear" w:color="auto" w:fill="auto"/>
            <w:vAlign w:val="center"/>
          </w:tcPr>
          <w:p w14:paraId="3E05818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2943" w:type="dxa"/>
            <w:tcBorders>
              <w:top w:val="nil"/>
              <w:left w:val="nil"/>
              <w:bottom w:val="single" w:color="auto" w:sz="4" w:space="0"/>
              <w:right w:val="single" w:color="auto" w:sz="8" w:space="0"/>
            </w:tcBorders>
            <w:shd w:val="clear" w:color="auto" w:fill="auto"/>
            <w:vAlign w:val="center"/>
          </w:tcPr>
          <w:p w14:paraId="12BF3FA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E15473C">
        <w:tblPrEx>
          <w:tblCellMar>
            <w:top w:w="0" w:type="dxa"/>
            <w:left w:w="108" w:type="dxa"/>
            <w:bottom w:w="0" w:type="dxa"/>
            <w:right w:w="108" w:type="dxa"/>
          </w:tblCellMar>
        </w:tblPrEx>
        <w:trPr>
          <w:trHeight w:val="329"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5BBE5AB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2019999</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70AF24E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其他一般公共服务支出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4125F65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6A40979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1939DC5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652229A">
        <w:tblPrEx>
          <w:tblCellMar>
            <w:top w:w="0" w:type="dxa"/>
            <w:left w:w="108" w:type="dxa"/>
            <w:bottom w:w="0" w:type="dxa"/>
            <w:right w:w="108" w:type="dxa"/>
          </w:tblCellMar>
        </w:tblPrEx>
        <w:trPr>
          <w:trHeight w:val="357"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0EF5D3C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759DEF0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社会保障和就业支出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8403AC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16.16</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5217586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16.16</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616A7DF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0D5BC92">
        <w:tblPrEx>
          <w:tblCellMar>
            <w:top w:w="0" w:type="dxa"/>
            <w:left w:w="108" w:type="dxa"/>
            <w:bottom w:w="0" w:type="dxa"/>
            <w:right w:w="108" w:type="dxa"/>
          </w:tblCellMar>
        </w:tblPrEx>
        <w:trPr>
          <w:trHeight w:val="357"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4B08000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6189813C">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行政事业单位养老支出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7D3F2EF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12.96</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65F3BB2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12.96</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58EE1693">
            <w:pPr>
              <w:widowControl/>
              <w:jc w:val="left"/>
              <w:rPr>
                <w:rFonts w:ascii="Times New Roman" w:hAnsi="Times New Roman" w:eastAsia="仿宋_GB2312" w:cs="Times New Roman"/>
                <w:kern w:val="0"/>
                <w:szCs w:val="21"/>
              </w:rPr>
            </w:pPr>
          </w:p>
        </w:tc>
      </w:tr>
      <w:tr w14:paraId="2100ABB4">
        <w:tblPrEx>
          <w:tblCellMar>
            <w:top w:w="0" w:type="dxa"/>
            <w:left w:w="108" w:type="dxa"/>
            <w:bottom w:w="0" w:type="dxa"/>
            <w:right w:w="108" w:type="dxa"/>
          </w:tblCellMar>
        </w:tblPrEx>
        <w:trPr>
          <w:trHeight w:val="357"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2005D734">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2080502</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3D09652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事业单位离退休</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84FD5B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11.7</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07E6DC2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11.7</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20CCFD5C">
            <w:pPr>
              <w:widowControl/>
              <w:jc w:val="left"/>
              <w:rPr>
                <w:rFonts w:ascii="Times New Roman" w:hAnsi="Times New Roman" w:eastAsia="仿宋_GB2312" w:cs="Times New Roman"/>
                <w:kern w:val="0"/>
                <w:szCs w:val="21"/>
              </w:rPr>
            </w:pPr>
          </w:p>
        </w:tc>
      </w:tr>
      <w:tr w14:paraId="4BC54FF2">
        <w:tblPrEx>
          <w:tblCellMar>
            <w:top w:w="0" w:type="dxa"/>
            <w:left w:w="108" w:type="dxa"/>
            <w:bottom w:w="0" w:type="dxa"/>
            <w:right w:w="108" w:type="dxa"/>
          </w:tblCellMar>
        </w:tblPrEx>
        <w:trPr>
          <w:trHeight w:val="597"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70DC368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2080505</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0F32DFBD">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机关事业单位基本养老保险缴费支出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D84F18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1.26</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4B53173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1.26</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57448DFE">
            <w:pPr>
              <w:widowControl/>
              <w:jc w:val="left"/>
              <w:rPr>
                <w:rFonts w:ascii="Times New Roman" w:hAnsi="Times New Roman" w:eastAsia="仿宋_GB2312" w:cs="Times New Roman"/>
                <w:kern w:val="0"/>
                <w:szCs w:val="21"/>
              </w:rPr>
            </w:pPr>
          </w:p>
        </w:tc>
      </w:tr>
      <w:tr w14:paraId="73B4E7AF">
        <w:tblPrEx>
          <w:tblCellMar>
            <w:top w:w="0" w:type="dxa"/>
            <w:left w:w="108" w:type="dxa"/>
            <w:bottom w:w="0" w:type="dxa"/>
            <w:right w:w="108" w:type="dxa"/>
          </w:tblCellMar>
        </w:tblPrEx>
        <w:trPr>
          <w:trHeight w:val="357"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0F11738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20808</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60C7E804">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抚恤</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359F8DF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2.17</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447237F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2.17</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371DD41E">
            <w:pPr>
              <w:widowControl/>
              <w:jc w:val="left"/>
              <w:rPr>
                <w:rFonts w:ascii="Times New Roman" w:hAnsi="Times New Roman" w:eastAsia="仿宋_GB2312" w:cs="Times New Roman"/>
                <w:kern w:val="0"/>
                <w:szCs w:val="21"/>
              </w:rPr>
            </w:pPr>
          </w:p>
        </w:tc>
      </w:tr>
      <w:tr w14:paraId="4A30E3E7">
        <w:tblPrEx>
          <w:tblCellMar>
            <w:top w:w="0" w:type="dxa"/>
            <w:left w:w="108" w:type="dxa"/>
            <w:bottom w:w="0" w:type="dxa"/>
            <w:right w:w="108" w:type="dxa"/>
          </w:tblCellMar>
        </w:tblPrEx>
        <w:trPr>
          <w:trHeight w:val="357"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2ADB77B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2080801</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4F76C298">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死亡抚恤</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0B2E39E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2.17</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6CDCAC8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2.17</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3270C217">
            <w:pPr>
              <w:widowControl/>
              <w:jc w:val="left"/>
              <w:rPr>
                <w:rFonts w:ascii="Times New Roman" w:hAnsi="Times New Roman" w:eastAsia="仿宋_GB2312" w:cs="Times New Roman"/>
                <w:kern w:val="0"/>
                <w:szCs w:val="21"/>
              </w:rPr>
            </w:pPr>
          </w:p>
        </w:tc>
      </w:tr>
      <w:tr w14:paraId="3CEC8A22">
        <w:tblPrEx>
          <w:tblCellMar>
            <w:top w:w="0" w:type="dxa"/>
            <w:left w:w="108" w:type="dxa"/>
            <w:bottom w:w="0" w:type="dxa"/>
            <w:right w:w="108" w:type="dxa"/>
          </w:tblCellMar>
        </w:tblPrEx>
        <w:trPr>
          <w:trHeight w:val="375" w:hRule="atLeast"/>
          <w:jc w:val="center"/>
        </w:trPr>
        <w:tc>
          <w:tcPr>
            <w:tcW w:w="1175" w:type="dxa"/>
            <w:tcBorders>
              <w:top w:val="single" w:color="auto" w:sz="4" w:space="0"/>
              <w:left w:val="single" w:color="auto" w:sz="8" w:space="0"/>
              <w:bottom w:val="single" w:color="auto" w:sz="4" w:space="0"/>
              <w:right w:val="single" w:color="auto" w:sz="4" w:space="0"/>
            </w:tcBorders>
            <w:shd w:val="clear" w:color="auto" w:fill="auto"/>
            <w:vAlign w:val="center"/>
          </w:tcPr>
          <w:p w14:paraId="5F8030D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20899</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4F2D278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其他社会保障和就业支出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39F426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1.02</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4862E5C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1.02</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50C4879E">
            <w:pPr>
              <w:widowControl/>
              <w:jc w:val="left"/>
              <w:rPr>
                <w:rFonts w:ascii="Times New Roman" w:hAnsi="Times New Roman" w:eastAsia="仿宋_GB2312" w:cs="Times New Roman"/>
                <w:kern w:val="0"/>
                <w:szCs w:val="21"/>
              </w:rPr>
            </w:pPr>
          </w:p>
        </w:tc>
      </w:tr>
      <w:tr w14:paraId="61BA76C7">
        <w:tblPrEx>
          <w:tblCellMar>
            <w:top w:w="0" w:type="dxa"/>
            <w:left w:w="108" w:type="dxa"/>
            <w:bottom w:w="0" w:type="dxa"/>
            <w:right w:w="108" w:type="dxa"/>
          </w:tblCellMar>
        </w:tblPrEx>
        <w:trPr>
          <w:trHeight w:val="394" w:hRule="atLeast"/>
          <w:jc w:val="center"/>
        </w:trPr>
        <w:tc>
          <w:tcPr>
            <w:tcW w:w="1175" w:type="dxa"/>
            <w:tcBorders>
              <w:top w:val="single" w:color="auto" w:sz="4" w:space="0"/>
              <w:left w:val="single" w:color="auto" w:sz="8" w:space="0"/>
              <w:bottom w:val="single" w:color="auto" w:sz="8" w:space="0"/>
              <w:right w:val="single" w:color="auto" w:sz="4" w:space="0"/>
            </w:tcBorders>
            <w:shd w:val="clear" w:color="auto" w:fill="auto"/>
            <w:vAlign w:val="center"/>
          </w:tcPr>
          <w:p w14:paraId="35C6418C">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2089999</w:t>
            </w:r>
          </w:p>
        </w:tc>
        <w:tc>
          <w:tcPr>
            <w:tcW w:w="3459" w:type="dxa"/>
            <w:tcBorders>
              <w:top w:val="single" w:color="auto" w:sz="4" w:space="0"/>
              <w:left w:val="single" w:color="auto" w:sz="4" w:space="0"/>
              <w:bottom w:val="single" w:color="auto" w:sz="4" w:space="0"/>
              <w:right w:val="single" w:color="auto" w:sz="4" w:space="0"/>
            </w:tcBorders>
            <w:shd w:val="clear" w:color="auto" w:fill="auto"/>
            <w:vAlign w:val="center"/>
          </w:tcPr>
          <w:p w14:paraId="337705AF">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其他社会保障和就业支出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75FD738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1.02</w:t>
            </w:r>
          </w:p>
        </w:tc>
        <w:tc>
          <w:tcPr>
            <w:tcW w:w="3422" w:type="dxa"/>
            <w:tcBorders>
              <w:top w:val="single" w:color="auto" w:sz="4" w:space="0"/>
              <w:left w:val="single" w:color="auto" w:sz="4" w:space="0"/>
              <w:bottom w:val="single" w:color="auto" w:sz="4" w:space="0"/>
              <w:right w:val="single" w:color="auto" w:sz="4" w:space="0"/>
            </w:tcBorders>
            <w:shd w:val="clear" w:color="auto" w:fill="auto"/>
            <w:vAlign w:val="center"/>
          </w:tcPr>
          <w:p w14:paraId="6103BF4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1.02</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center"/>
          </w:tcPr>
          <w:p w14:paraId="3C560971">
            <w:pPr>
              <w:widowControl/>
              <w:jc w:val="left"/>
              <w:rPr>
                <w:rFonts w:ascii="Times New Roman" w:hAnsi="Times New Roman" w:eastAsia="仿宋_GB2312" w:cs="Times New Roman"/>
                <w:kern w:val="0"/>
                <w:szCs w:val="21"/>
              </w:rPr>
            </w:pPr>
          </w:p>
        </w:tc>
      </w:tr>
    </w:tbl>
    <w:p w14:paraId="006D635C">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7244F3FC">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p>
    <w:p w14:paraId="34F5548F">
      <w:pPr>
        <w:widowControl/>
        <w:spacing w:after="12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bookmarkEnd w:id="2"/>
    </w:p>
    <w:p w14:paraId="202B4CC3">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1F5D385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96" w:type="dxa"/>
        <w:jc w:val="center"/>
        <w:tblLayout w:type="fixed"/>
        <w:tblCellMar>
          <w:top w:w="0" w:type="dxa"/>
          <w:left w:w="108" w:type="dxa"/>
          <w:bottom w:w="0" w:type="dxa"/>
          <w:right w:w="108" w:type="dxa"/>
        </w:tblCellMar>
      </w:tblPr>
      <w:tblGrid>
        <w:gridCol w:w="1085"/>
        <w:gridCol w:w="2864"/>
        <w:gridCol w:w="970"/>
        <w:gridCol w:w="1121"/>
        <w:gridCol w:w="2028"/>
        <w:gridCol w:w="937"/>
        <w:gridCol w:w="1223"/>
        <w:gridCol w:w="3535"/>
        <w:gridCol w:w="933"/>
      </w:tblGrid>
      <w:tr w14:paraId="47361A57">
        <w:tblPrEx>
          <w:tblCellMar>
            <w:top w:w="0" w:type="dxa"/>
            <w:left w:w="108" w:type="dxa"/>
            <w:bottom w:w="0" w:type="dxa"/>
            <w:right w:w="108" w:type="dxa"/>
          </w:tblCellMar>
        </w:tblPrEx>
        <w:trPr>
          <w:trHeight w:val="626" w:hRule="atLeast"/>
          <w:jc w:val="center"/>
        </w:trPr>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10059E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64" w:type="dxa"/>
            <w:tcBorders>
              <w:top w:val="single" w:color="auto" w:sz="4" w:space="0"/>
              <w:left w:val="nil"/>
              <w:bottom w:val="single" w:color="auto" w:sz="4" w:space="0"/>
              <w:right w:val="single" w:color="auto" w:sz="4" w:space="0"/>
            </w:tcBorders>
            <w:shd w:val="clear" w:color="auto" w:fill="auto"/>
            <w:vAlign w:val="center"/>
          </w:tcPr>
          <w:p w14:paraId="02B270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70" w:type="dxa"/>
            <w:tcBorders>
              <w:top w:val="single" w:color="auto" w:sz="4" w:space="0"/>
              <w:left w:val="nil"/>
              <w:bottom w:val="single" w:color="auto" w:sz="4" w:space="0"/>
              <w:right w:val="single" w:color="auto" w:sz="4" w:space="0"/>
            </w:tcBorders>
            <w:shd w:val="clear" w:color="auto" w:fill="auto"/>
            <w:vAlign w:val="center"/>
          </w:tcPr>
          <w:p w14:paraId="5E90493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21" w:type="dxa"/>
            <w:tcBorders>
              <w:top w:val="single" w:color="auto" w:sz="4" w:space="0"/>
              <w:left w:val="nil"/>
              <w:bottom w:val="single" w:color="auto" w:sz="4" w:space="0"/>
              <w:right w:val="single" w:color="auto" w:sz="4" w:space="0"/>
            </w:tcBorders>
            <w:shd w:val="clear" w:color="auto" w:fill="auto"/>
            <w:vAlign w:val="center"/>
          </w:tcPr>
          <w:p w14:paraId="6A0CE7F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28" w:type="dxa"/>
            <w:tcBorders>
              <w:top w:val="single" w:color="auto" w:sz="4" w:space="0"/>
              <w:left w:val="nil"/>
              <w:bottom w:val="single" w:color="auto" w:sz="4" w:space="0"/>
              <w:right w:val="single" w:color="auto" w:sz="4" w:space="0"/>
            </w:tcBorders>
            <w:shd w:val="clear" w:color="auto" w:fill="auto"/>
            <w:vAlign w:val="center"/>
          </w:tcPr>
          <w:p w14:paraId="19552B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7" w:type="dxa"/>
            <w:tcBorders>
              <w:top w:val="single" w:color="auto" w:sz="4" w:space="0"/>
              <w:left w:val="nil"/>
              <w:bottom w:val="single" w:color="auto" w:sz="4" w:space="0"/>
              <w:right w:val="single" w:color="auto" w:sz="4" w:space="0"/>
            </w:tcBorders>
            <w:shd w:val="clear" w:color="auto" w:fill="auto"/>
            <w:vAlign w:val="center"/>
          </w:tcPr>
          <w:p w14:paraId="3B2563D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23" w:type="dxa"/>
            <w:tcBorders>
              <w:top w:val="single" w:color="auto" w:sz="4" w:space="0"/>
              <w:left w:val="nil"/>
              <w:bottom w:val="single" w:color="auto" w:sz="4" w:space="0"/>
              <w:right w:val="single" w:color="auto" w:sz="4" w:space="0"/>
            </w:tcBorders>
            <w:shd w:val="clear" w:color="auto" w:fill="auto"/>
            <w:vAlign w:val="center"/>
          </w:tcPr>
          <w:p w14:paraId="139F098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35" w:type="dxa"/>
            <w:tcBorders>
              <w:top w:val="single" w:color="auto" w:sz="4" w:space="0"/>
              <w:left w:val="nil"/>
              <w:bottom w:val="single" w:color="auto" w:sz="4" w:space="0"/>
              <w:right w:val="single" w:color="auto" w:sz="4" w:space="0"/>
            </w:tcBorders>
            <w:shd w:val="clear" w:color="auto" w:fill="auto"/>
            <w:vAlign w:val="center"/>
          </w:tcPr>
          <w:p w14:paraId="4E7F06C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A2081B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7AF9187">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07467B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64" w:type="dxa"/>
            <w:tcBorders>
              <w:top w:val="nil"/>
              <w:left w:val="nil"/>
              <w:bottom w:val="single" w:color="auto" w:sz="4" w:space="0"/>
              <w:right w:val="single" w:color="auto" w:sz="4" w:space="0"/>
            </w:tcBorders>
            <w:shd w:val="clear" w:color="auto" w:fill="auto"/>
            <w:noWrap/>
            <w:vAlign w:val="center"/>
          </w:tcPr>
          <w:p w14:paraId="5B4BEE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70" w:type="dxa"/>
            <w:tcBorders>
              <w:top w:val="nil"/>
              <w:left w:val="nil"/>
              <w:bottom w:val="single" w:color="auto" w:sz="4" w:space="0"/>
              <w:right w:val="single" w:color="auto" w:sz="4" w:space="0"/>
            </w:tcBorders>
            <w:shd w:val="clear" w:color="auto" w:fill="auto"/>
            <w:noWrap/>
            <w:vAlign w:val="center"/>
          </w:tcPr>
          <w:p w14:paraId="686FAEB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665.75 </w:t>
            </w:r>
          </w:p>
        </w:tc>
        <w:tc>
          <w:tcPr>
            <w:tcW w:w="1121" w:type="dxa"/>
            <w:tcBorders>
              <w:top w:val="nil"/>
              <w:left w:val="nil"/>
              <w:bottom w:val="single" w:color="auto" w:sz="4" w:space="0"/>
              <w:right w:val="single" w:color="auto" w:sz="4" w:space="0"/>
            </w:tcBorders>
            <w:shd w:val="clear" w:color="auto" w:fill="auto"/>
            <w:noWrap/>
            <w:vAlign w:val="center"/>
          </w:tcPr>
          <w:p w14:paraId="57F5FE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28" w:type="dxa"/>
            <w:tcBorders>
              <w:top w:val="nil"/>
              <w:left w:val="nil"/>
              <w:bottom w:val="single" w:color="auto" w:sz="4" w:space="0"/>
              <w:right w:val="single" w:color="auto" w:sz="4" w:space="0"/>
            </w:tcBorders>
            <w:shd w:val="clear" w:color="auto" w:fill="auto"/>
            <w:noWrap/>
            <w:vAlign w:val="center"/>
          </w:tcPr>
          <w:p w14:paraId="3E72F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7" w:type="dxa"/>
            <w:tcBorders>
              <w:top w:val="nil"/>
              <w:left w:val="nil"/>
              <w:bottom w:val="single" w:color="auto" w:sz="4" w:space="0"/>
              <w:right w:val="single" w:color="auto" w:sz="4" w:space="0"/>
            </w:tcBorders>
            <w:shd w:val="clear" w:color="auto" w:fill="auto"/>
            <w:noWrap/>
            <w:vAlign w:val="center"/>
          </w:tcPr>
          <w:p w14:paraId="3CA9EE0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437.61 </w:t>
            </w:r>
          </w:p>
        </w:tc>
        <w:tc>
          <w:tcPr>
            <w:tcW w:w="1223" w:type="dxa"/>
            <w:tcBorders>
              <w:top w:val="nil"/>
              <w:left w:val="nil"/>
              <w:bottom w:val="single" w:color="auto" w:sz="4" w:space="0"/>
              <w:right w:val="single" w:color="auto" w:sz="4" w:space="0"/>
            </w:tcBorders>
            <w:shd w:val="clear" w:color="auto" w:fill="auto"/>
            <w:noWrap/>
            <w:vAlign w:val="center"/>
          </w:tcPr>
          <w:p w14:paraId="55D892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35" w:type="dxa"/>
            <w:tcBorders>
              <w:top w:val="nil"/>
              <w:left w:val="nil"/>
              <w:bottom w:val="single" w:color="auto" w:sz="4" w:space="0"/>
              <w:right w:val="single" w:color="auto" w:sz="4" w:space="0"/>
            </w:tcBorders>
            <w:shd w:val="clear" w:color="auto" w:fill="auto"/>
            <w:noWrap/>
            <w:vAlign w:val="center"/>
          </w:tcPr>
          <w:p w14:paraId="0201D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33" w:type="dxa"/>
            <w:tcBorders>
              <w:top w:val="nil"/>
              <w:left w:val="nil"/>
              <w:bottom w:val="single" w:color="auto" w:sz="4" w:space="0"/>
              <w:right w:val="single" w:color="auto" w:sz="4" w:space="0"/>
            </w:tcBorders>
            <w:shd w:val="clear" w:color="auto" w:fill="auto"/>
            <w:noWrap/>
            <w:vAlign w:val="center"/>
          </w:tcPr>
          <w:p w14:paraId="3F3EC5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A80173">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7D6815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64" w:type="dxa"/>
            <w:tcBorders>
              <w:top w:val="nil"/>
              <w:left w:val="nil"/>
              <w:bottom w:val="single" w:color="auto" w:sz="4" w:space="0"/>
              <w:right w:val="single" w:color="auto" w:sz="4" w:space="0"/>
            </w:tcBorders>
            <w:shd w:val="clear" w:color="auto" w:fill="auto"/>
            <w:noWrap/>
            <w:vAlign w:val="center"/>
          </w:tcPr>
          <w:p w14:paraId="6B5E7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70" w:type="dxa"/>
            <w:tcBorders>
              <w:top w:val="nil"/>
              <w:left w:val="nil"/>
              <w:bottom w:val="single" w:color="auto" w:sz="4" w:space="0"/>
              <w:right w:val="single" w:color="auto" w:sz="4" w:space="0"/>
            </w:tcBorders>
            <w:shd w:val="clear" w:color="auto" w:fill="auto"/>
            <w:noWrap/>
            <w:vAlign w:val="center"/>
          </w:tcPr>
          <w:p w14:paraId="2ACE43E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180.19 </w:t>
            </w:r>
          </w:p>
        </w:tc>
        <w:tc>
          <w:tcPr>
            <w:tcW w:w="1121" w:type="dxa"/>
            <w:tcBorders>
              <w:top w:val="nil"/>
              <w:left w:val="nil"/>
              <w:bottom w:val="single" w:color="auto" w:sz="4" w:space="0"/>
              <w:right w:val="single" w:color="auto" w:sz="4" w:space="0"/>
            </w:tcBorders>
            <w:shd w:val="clear" w:color="auto" w:fill="auto"/>
            <w:noWrap/>
            <w:vAlign w:val="center"/>
          </w:tcPr>
          <w:p w14:paraId="28A667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28" w:type="dxa"/>
            <w:tcBorders>
              <w:top w:val="nil"/>
              <w:left w:val="nil"/>
              <w:bottom w:val="single" w:color="auto" w:sz="4" w:space="0"/>
              <w:right w:val="single" w:color="auto" w:sz="4" w:space="0"/>
            </w:tcBorders>
            <w:shd w:val="clear" w:color="auto" w:fill="auto"/>
            <w:noWrap/>
            <w:vAlign w:val="center"/>
          </w:tcPr>
          <w:p w14:paraId="50D2F1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7" w:type="dxa"/>
            <w:tcBorders>
              <w:top w:val="nil"/>
              <w:left w:val="nil"/>
              <w:bottom w:val="single" w:color="auto" w:sz="4" w:space="0"/>
              <w:right w:val="single" w:color="auto" w:sz="4" w:space="0"/>
            </w:tcBorders>
            <w:shd w:val="clear" w:color="auto" w:fill="auto"/>
            <w:noWrap/>
            <w:vAlign w:val="center"/>
          </w:tcPr>
          <w:p w14:paraId="5736735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69.32 </w:t>
            </w:r>
          </w:p>
        </w:tc>
        <w:tc>
          <w:tcPr>
            <w:tcW w:w="1223" w:type="dxa"/>
            <w:tcBorders>
              <w:top w:val="nil"/>
              <w:left w:val="nil"/>
              <w:bottom w:val="single" w:color="auto" w:sz="4" w:space="0"/>
              <w:right w:val="single" w:color="auto" w:sz="4" w:space="0"/>
            </w:tcBorders>
            <w:shd w:val="clear" w:color="auto" w:fill="auto"/>
            <w:noWrap/>
            <w:vAlign w:val="center"/>
          </w:tcPr>
          <w:p w14:paraId="78ED80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35" w:type="dxa"/>
            <w:tcBorders>
              <w:top w:val="nil"/>
              <w:left w:val="nil"/>
              <w:bottom w:val="single" w:color="auto" w:sz="4" w:space="0"/>
              <w:right w:val="single" w:color="auto" w:sz="4" w:space="0"/>
            </w:tcBorders>
            <w:shd w:val="clear" w:color="auto" w:fill="auto"/>
            <w:noWrap/>
            <w:vAlign w:val="center"/>
          </w:tcPr>
          <w:p w14:paraId="0725CF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33" w:type="dxa"/>
            <w:tcBorders>
              <w:top w:val="nil"/>
              <w:left w:val="nil"/>
              <w:bottom w:val="single" w:color="auto" w:sz="4" w:space="0"/>
              <w:right w:val="single" w:color="auto" w:sz="4" w:space="0"/>
            </w:tcBorders>
            <w:shd w:val="clear" w:color="auto" w:fill="auto"/>
            <w:noWrap/>
            <w:vAlign w:val="center"/>
          </w:tcPr>
          <w:p w14:paraId="446205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3B475C">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386A38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64" w:type="dxa"/>
            <w:tcBorders>
              <w:top w:val="nil"/>
              <w:left w:val="nil"/>
              <w:bottom w:val="single" w:color="auto" w:sz="4" w:space="0"/>
              <w:right w:val="single" w:color="auto" w:sz="4" w:space="0"/>
            </w:tcBorders>
            <w:shd w:val="clear" w:color="auto" w:fill="auto"/>
            <w:noWrap/>
            <w:vAlign w:val="center"/>
          </w:tcPr>
          <w:p w14:paraId="3F0725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70" w:type="dxa"/>
            <w:tcBorders>
              <w:top w:val="nil"/>
              <w:left w:val="nil"/>
              <w:bottom w:val="single" w:color="auto" w:sz="4" w:space="0"/>
              <w:right w:val="single" w:color="auto" w:sz="4" w:space="0"/>
            </w:tcBorders>
            <w:shd w:val="clear" w:color="auto" w:fill="auto"/>
            <w:noWrap/>
            <w:vAlign w:val="center"/>
          </w:tcPr>
          <w:p w14:paraId="5978538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34A40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28" w:type="dxa"/>
            <w:tcBorders>
              <w:top w:val="nil"/>
              <w:left w:val="nil"/>
              <w:bottom w:val="single" w:color="auto" w:sz="4" w:space="0"/>
              <w:right w:val="single" w:color="auto" w:sz="4" w:space="0"/>
            </w:tcBorders>
            <w:shd w:val="clear" w:color="auto" w:fill="auto"/>
            <w:noWrap/>
            <w:vAlign w:val="center"/>
          </w:tcPr>
          <w:p w14:paraId="31876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7" w:type="dxa"/>
            <w:tcBorders>
              <w:top w:val="nil"/>
              <w:left w:val="nil"/>
              <w:bottom w:val="single" w:color="auto" w:sz="4" w:space="0"/>
              <w:right w:val="single" w:color="auto" w:sz="4" w:space="0"/>
            </w:tcBorders>
            <w:shd w:val="clear" w:color="auto" w:fill="auto"/>
            <w:noWrap/>
            <w:vAlign w:val="center"/>
          </w:tcPr>
          <w:p w14:paraId="0BDF0DB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352FA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35" w:type="dxa"/>
            <w:tcBorders>
              <w:top w:val="nil"/>
              <w:left w:val="nil"/>
              <w:bottom w:val="single" w:color="auto" w:sz="4" w:space="0"/>
              <w:right w:val="single" w:color="auto" w:sz="4" w:space="0"/>
            </w:tcBorders>
            <w:shd w:val="clear" w:color="auto" w:fill="auto"/>
            <w:noWrap/>
            <w:vAlign w:val="center"/>
          </w:tcPr>
          <w:p w14:paraId="73664C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33" w:type="dxa"/>
            <w:tcBorders>
              <w:top w:val="nil"/>
              <w:left w:val="nil"/>
              <w:bottom w:val="single" w:color="auto" w:sz="4" w:space="0"/>
              <w:right w:val="single" w:color="auto" w:sz="4" w:space="0"/>
            </w:tcBorders>
            <w:shd w:val="clear" w:color="auto" w:fill="auto"/>
            <w:noWrap/>
            <w:vAlign w:val="center"/>
          </w:tcPr>
          <w:p w14:paraId="6AA9C2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746D00">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00E048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64" w:type="dxa"/>
            <w:tcBorders>
              <w:top w:val="nil"/>
              <w:left w:val="nil"/>
              <w:bottom w:val="single" w:color="auto" w:sz="4" w:space="0"/>
              <w:right w:val="single" w:color="auto" w:sz="4" w:space="0"/>
            </w:tcBorders>
            <w:shd w:val="clear" w:color="auto" w:fill="auto"/>
            <w:noWrap/>
            <w:vAlign w:val="center"/>
          </w:tcPr>
          <w:p w14:paraId="0E5D7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70" w:type="dxa"/>
            <w:tcBorders>
              <w:top w:val="nil"/>
              <w:left w:val="nil"/>
              <w:bottom w:val="single" w:color="auto" w:sz="4" w:space="0"/>
              <w:right w:val="single" w:color="auto" w:sz="4" w:space="0"/>
            </w:tcBorders>
            <w:shd w:val="clear" w:color="auto" w:fill="auto"/>
            <w:noWrap/>
            <w:vAlign w:val="center"/>
          </w:tcPr>
          <w:p w14:paraId="6259097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87.92 </w:t>
            </w:r>
          </w:p>
        </w:tc>
        <w:tc>
          <w:tcPr>
            <w:tcW w:w="1121" w:type="dxa"/>
            <w:tcBorders>
              <w:top w:val="nil"/>
              <w:left w:val="nil"/>
              <w:bottom w:val="single" w:color="auto" w:sz="4" w:space="0"/>
              <w:right w:val="single" w:color="auto" w:sz="4" w:space="0"/>
            </w:tcBorders>
            <w:shd w:val="clear" w:color="auto" w:fill="auto"/>
            <w:noWrap/>
            <w:vAlign w:val="center"/>
          </w:tcPr>
          <w:p w14:paraId="641B7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28" w:type="dxa"/>
            <w:tcBorders>
              <w:top w:val="nil"/>
              <w:left w:val="nil"/>
              <w:bottom w:val="single" w:color="auto" w:sz="4" w:space="0"/>
              <w:right w:val="single" w:color="auto" w:sz="4" w:space="0"/>
            </w:tcBorders>
            <w:shd w:val="clear" w:color="auto" w:fill="auto"/>
            <w:noWrap/>
            <w:vAlign w:val="center"/>
          </w:tcPr>
          <w:p w14:paraId="50B30E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7" w:type="dxa"/>
            <w:tcBorders>
              <w:top w:val="nil"/>
              <w:left w:val="nil"/>
              <w:bottom w:val="single" w:color="auto" w:sz="4" w:space="0"/>
              <w:right w:val="single" w:color="auto" w:sz="4" w:space="0"/>
            </w:tcBorders>
            <w:shd w:val="clear" w:color="auto" w:fill="auto"/>
            <w:noWrap/>
            <w:vAlign w:val="center"/>
          </w:tcPr>
          <w:p w14:paraId="3EB9B5D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0E3B4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35" w:type="dxa"/>
            <w:tcBorders>
              <w:top w:val="nil"/>
              <w:left w:val="nil"/>
              <w:bottom w:val="single" w:color="auto" w:sz="4" w:space="0"/>
              <w:right w:val="single" w:color="auto" w:sz="4" w:space="0"/>
            </w:tcBorders>
            <w:shd w:val="clear" w:color="auto" w:fill="auto"/>
            <w:noWrap/>
            <w:vAlign w:val="center"/>
          </w:tcPr>
          <w:p w14:paraId="4EA79F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33" w:type="dxa"/>
            <w:tcBorders>
              <w:top w:val="nil"/>
              <w:left w:val="nil"/>
              <w:bottom w:val="single" w:color="auto" w:sz="4" w:space="0"/>
              <w:right w:val="single" w:color="auto" w:sz="4" w:space="0"/>
            </w:tcBorders>
            <w:shd w:val="clear" w:color="auto" w:fill="auto"/>
            <w:noWrap/>
            <w:vAlign w:val="center"/>
          </w:tcPr>
          <w:p w14:paraId="001149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1FB388">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31B8A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64" w:type="dxa"/>
            <w:tcBorders>
              <w:top w:val="nil"/>
              <w:left w:val="nil"/>
              <w:bottom w:val="single" w:color="auto" w:sz="4" w:space="0"/>
              <w:right w:val="single" w:color="auto" w:sz="4" w:space="0"/>
            </w:tcBorders>
            <w:shd w:val="clear" w:color="auto" w:fill="auto"/>
            <w:noWrap/>
            <w:vAlign w:val="center"/>
          </w:tcPr>
          <w:p w14:paraId="49497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70" w:type="dxa"/>
            <w:tcBorders>
              <w:top w:val="nil"/>
              <w:left w:val="nil"/>
              <w:bottom w:val="single" w:color="auto" w:sz="4" w:space="0"/>
              <w:right w:val="single" w:color="auto" w:sz="4" w:space="0"/>
            </w:tcBorders>
            <w:shd w:val="clear" w:color="auto" w:fill="auto"/>
            <w:noWrap/>
            <w:vAlign w:val="center"/>
          </w:tcPr>
          <w:p w14:paraId="06ED0EE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17.10 </w:t>
            </w:r>
          </w:p>
        </w:tc>
        <w:tc>
          <w:tcPr>
            <w:tcW w:w="1121" w:type="dxa"/>
            <w:tcBorders>
              <w:top w:val="nil"/>
              <w:left w:val="nil"/>
              <w:bottom w:val="single" w:color="auto" w:sz="4" w:space="0"/>
              <w:right w:val="single" w:color="auto" w:sz="4" w:space="0"/>
            </w:tcBorders>
            <w:shd w:val="clear" w:color="auto" w:fill="auto"/>
            <w:noWrap/>
            <w:vAlign w:val="center"/>
          </w:tcPr>
          <w:p w14:paraId="76F26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28" w:type="dxa"/>
            <w:tcBorders>
              <w:top w:val="nil"/>
              <w:left w:val="nil"/>
              <w:bottom w:val="single" w:color="auto" w:sz="4" w:space="0"/>
              <w:right w:val="single" w:color="auto" w:sz="4" w:space="0"/>
            </w:tcBorders>
            <w:shd w:val="clear" w:color="auto" w:fill="auto"/>
            <w:noWrap/>
            <w:vAlign w:val="center"/>
          </w:tcPr>
          <w:p w14:paraId="6D9A5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7" w:type="dxa"/>
            <w:tcBorders>
              <w:top w:val="nil"/>
              <w:left w:val="nil"/>
              <w:bottom w:val="single" w:color="auto" w:sz="4" w:space="0"/>
              <w:right w:val="single" w:color="auto" w:sz="4" w:space="0"/>
            </w:tcBorders>
            <w:shd w:val="clear" w:color="auto" w:fill="auto"/>
            <w:noWrap/>
            <w:vAlign w:val="center"/>
          </w:tcPr>
          <w:p w14:paraId="07A7702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74A2CA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35" w:type="dxa"/>
            <w:tcBorders>
              <w:top w:val="nil"/>
              <w:left w:val="nil"/>
              <w:bottom w:val="single" w:color="auto" w:sz="4" w:space="0"/>
              <w:right w:val="single" w:color="auto" w:sz="4" w:space="0"/>
            </w:tcBorders>
            <w:shd w:val="clear" w:color="auto" w:fill="auto"/>
            <w:noWrap/>
            <w:vAlign w:val="center"/>
          </w:tcPr>
          <w:p w14:paraId="4A16B9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33" w:type="dxa"/>
            <w:tcBorders>
              <w:top w:val="nil"/>
              <w:left w:val="nil"/>
              <w:bottom w:val="single" w:color="auto" w:sz="4" w:space="0"/>
              <w:right w:val="single" w:color="auto" w:sz="4" w:space="0"/>
            </w:tcBorders>
            <w:shd w:val="clear" w:color="auto" w:fill="auto"/>
            <w:noWrap/>
            <w:vAlign w:val="center"/>
          </w:tcPr>
          <w:p w14:paraId="3155AA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759FB5">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2198A7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64" w:type="dxa"/>
            <w:tcBorders>
              <w:top w:val="nil"/>
              <w:left w:val="nil"/>
              <w:bottom w:val="single" w:color="auto" w:sz="4" w:space="0"/>
              <w:right w:val="single" w:color="auto" w:sz="4" w:space="0"/>
            </w:tcBorders>
            <w:shd w:val="clear" w:color="auto" w:fill="auto"/>
            <w:noWrap/>
            <w:vAlign w:val="center"/>
          </w:tcPr>
          <w:p w14:paraId="162233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70" w:type="dxa"/>
            <w:tcBorders>
              <w:top w:val="nil"/>
              <w:left w:val="nil"/>
              <w:bottom w:val="single" w:color="auto" w:sz="4" w:space="0"/>
              <w:right w:val="single" w:color="auto" w:sz="4" w:space="0"/>
            </w:tcBorders>
            <w:shd w:val="clear" w:color="auto" w:fill="auto"/>
            <w:noWrap/>
            <w:vAlign w:val="center"/>
          </w:tcPr>
          <w:p w14:paraId="35E0BC4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132.82 </w:t>
            </w:r>
          </w:p>
        </w:tc>
        <w:tc>
          <w:tcPr>
            <w:tcW w:w="1121" w:type="dxa"/>
            <w:tcBorders>
              <w:top w:val="nil"/>
              <w:left w:val="nil"/>
              <w:bottom w:val="single" w:color="auto" w:sz="4" w:space="0"/>
              <w:right w:val="single" w:color="auto" w:sz="4" w:space="0"/>
            </w:tcBorders>
            <w:shd w:val="clear" w:color="auto" w:fill="auto"/>
            <w:noWrap/>
            <w:vAlign w:val="center"/>
          </w:tcPr>
          <w:p w14:paraId="01364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28" w:type="dxa"/>
            <w:tcBorders>
              <w:top w:val="nil"/>
              <w:left w:val="nil"/>
              <w:bottom w:val="single" w:color="auto" w:sz="4" w:space="0"/>
              <w:right w:val="single" w:color="auto" w:sz="4" w:space="0"/>
            </w:tcBorders>
            <w:shd w:val="clear" w:color="auto" w:fill="auto"/>
            <w:noWrap/>
            <w:vAlign w:val="center"/>
          </w:tcPr>
          <w:p w14:paraId="0503F5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7" w:type="dxa"/>
            <w:tcBorders>
              <w:top w:val="nil"/>
              <w:left w:val="nil"/>
              <w:bottom w:val="single" w:color="auto" w:sz="4" w:space="0"/>
              <w:right w:val="single" w:color="auto" w:sz="4" w:space="0"/>
            </w:tcBorders>
            <w:shd w:val="clear" w:color="auto" w:fill="auto"/>
            <w:noWrap/>
            <w:vAlign w:val="center"/>
          </w:tcPr>
          <w:p w14:paraId="5FB690A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9.80 </w:t>
            </w:r>
          </w:p>
        </w:tc>
        <w:tc>
          <w:tcPr>
            <w:tcW w:w="1223" w:type="dxa"/>
            <w:tcBorders>
              <w:top w:val="nil"/>
              <w:left w:val="nil"/>
              <w:bottom w:val="single" w:color="auto" w:sz="4" w:space="0"/>
              <w:right w:val="single" w:color="auto" w:sz="4" w:space="0"/>
            </w:tcBorders>
            <w:shd w:val="clear" w:color="auto" w:fill="auto"/>
            <w:noWrap/>
            <w:vAlign w:val="center"/>
          </w:tcPr>
          <w:p w14:paraId="54C92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35" w:type="dxa"/>
            <w:tcBorders>
              <w:top w:val="nil"/>
              <w:left w:val="nil"/>
              <w:bottom w:val="single" w:color="auto" w:sz="4" w:space="0"/>
              <w:right w:val="single" w:color="auto" w:sz="4" w:space="0"/>
            </w:tcBorders>
            <w:shd w:val="clear" w:color="auto" w:fill="auto"/>
            <w:noWrap/>
            <w:vAlign w:val="center"/>
          </w:tcPr>
          <w:p w14:paraId="2A7DB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33" w:type="dxa"/>
            <w:tcBorders>
              <w:top w:val="nil"/>
              <w:left w:val="nil"/>
              <w:bottom w:val="single" w:color="auto" w:sz="4" w:space="0"/>
              <w:right w:val="single" w:color="auto" w:sz="4" w:space="0"/>
            </w:tcBorders>
            <w:shd w:val="clear" w:color="auto" w:fill="auto"/>
            <w:noWrap/>
            <w:vAlign w:val="center"/>
          </w:tcPr>
          <w:p w14:paraId="684AEB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0343BA">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28902E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64" w:type="dxa"/>
            <w:tcBorders>
              <w:top w:val="nil"/>
              <w:left w:val="nil"/>
              <w:bottom w:val="single" w:color="auto" w:sz="4" w:space="0"/>
              <w:right w:val="single" w:color="auto" w:sz="4" w:space="0"/>
            </w:tcBorders>
            <w:shd w:val="clear" w:color="auto" w:fill="auto"/>
            <w:noWrap/>
            <w:vAlign w:val="center"/>
          </w:tcPr>
          <w:p w14:paraId="550C97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70" w:type="dxa"/>
            <w:tcBorders>
              <w:top w:val="nil"/>
              <w:left w:val="nil"/>
              <w:bottom w:val="single" w:color="auto" w:sz="4" w:space="0"/>
              <w:right w:val="single" w:color="auto" w:sz="4" w:space="0"/>
            </w:tcBorders>
            <w:shd w:val="clear" w:color="auto" w:fill="auto"/>
            <w:noWrap/>
            <w:vAlign w:val="center"/>
          </w:tcPr>
          <w:p w14:paraId="566FA66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112.68 </w:t>
            </w:r>
          </w:p>
        </w:tc>
        <w:tc>
          <w:tcPr>
            <w:tcW w:w="1121" w:type="dxa"/>
            <w:tcBorders>
              <w:top w:val="nil"/>
              <w:left w:val="nil"/>
              <w:bottom w:val="single" w:color="auto" w:sz="4" w:space="0"/>
              <w:right w:val="single" w:color="auto" w:sz="4" w:space="0"/>
            </w:tcBorders>
            <w:shd w:val="clear" w:color="auto" w:fill="auto"/>
            <w:noWrap/>
            <w:vAlign w:val="center"/>
          </w:tcPr>
          <w:p w14:paraId="527E30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28" w:type="dxa"/>
            <w:tcBorders>
              <w:top w:val="nil"/>
              <w:left w:val="nil"/>
              <w:bottom w:val="single" w:color="auto" w:sz="4" w:space="0"/>
              <w:right w:val="single" w:color="auto" w:sz="4" w:space="0"/>
            </w:tcBorders>
            <w:shd w:val="clear" w:color="auto" w:fill="auto"/>
            <w:noWrap/>
            <w:vAlign w:val="center"/>
          </w:tcPr>
          <w:p w14:paraId="1F696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7" w:type="dxa"/>
            <w:tcBorders>
              <w:top w:val="nil"/>
              <w:left w:val="nil"/>
              <w:bottom w:val="single" w:color="auto" w:sz="4" w:space="0"/>
              <w:right w:val="single" w:color="auto" w:sz="4" w:space="0"/>
            </w:tcBorders>
            <w:shd w:val="clear" w:color="auto" w:fill="auto"/>
            <w:noWrap/>
            <w:vAlign w:val="center"/>
          </w:tcPr>
          <w:p w14:paraId="715FD01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34.65 </w:t>
            </w:r>
          </w:p>
        </w:tc>
        <w:tc>
          <w:tcPr>
            <w:tcW w:w="1223" w:type="dxa"/>
            <w:tcBorders>
              <w:top w:val="nil"/>
              <w:left w:val="nil"/>
              <w:bottom w:val="single" w:color="auto" w:sz="4" w:space="0"/>
              <w:right w:val="single" w:color="auto" w:sz="4" w:space="0"/>
            </w:tcBorders>
            <w:shd w:val="clear" w:color="auto" w:fill="auto"/>
            <w:noWrap/>
            <w:vAlign w:val="center"/>
          </w:tcPr>
          <w:p w14:paraId="4DAFB6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35" w:type="dxa"/>
            <w:tcBorders>
              <w:top w:val="nil"/>
              <w:left w:val="nil"/>
              <w:bottom w:val="single" w:color="auto" w:sz="4" w:space="0"/>
              <w:right w:val="single" w:color="auto" w:sz="4" w:space="0"/>
            </w:tcBorders>
            <w:shd w:val="clear" w:color="auto" w:fill="auto"/>
            <w:noWrap/>
            <w:vAlign w:val="center"/>
          </w:tcPr>
          <w:p w14:paraId="0C56BC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33" w:type="dxa"/>
            <w:tcBorders>
              <w:top w:val="nil"/>
              <w:left w:val="nil"/>
              <w:bottom w:val="single" w:color="auto" w:sz="4" w:space="0"/>
              <w:right w:val="single" w:color="auto" w:sz="4" w:space="0"/>
            </w:tcBorders>
            <w:shd w:val="clear" w:color="auto" w:fill="auto"/>
            <w:noWrap/>
            <w:vAlign w:val="center"/>
          </w:tcPr>
          <w:p w14:paraId="79F4CD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B9C69F">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29BEED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64" w:type="dxa"/>
            <w:tcBorders>
              <w:top w:val="nil"/>
              <w:left w:val="nil"/>
              <w:bottom w:val="single" w:color="auto" w:sz="4" w:space="0"/>
              <w:right w:val="single" w:color="auto" w:sz="4" w:space="0"/>
            </w:tcBorders>
            <w:shd w:val="clear" w:color="auto" w:fill="auto"/>
            <w:noWrap/>
            <w:vAlign w:val="center"/>
          </w:tcPr>
          <w:p w14:paraId="766B39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70" w:type="dxa"/>
            <w:tcBorders>
              <w:top w:val="nil"/>
              <w:left w:val="nil"/>
              <w:bottom w:val="single" w:color="auto" w:sz="4" w:space="0"/>
              <w:right w:val="single" w:color="auto" w:sz="4" w:space="0"/>
            </w:tcBorders>
            <w:shd w:val="clear" w:color="auto" w:fill="auto"/>
            <w:noWrap/>
            <w:vAlign w:val="center"/>
          </w:tcPr>
          <w:p w14:paraId="43A67E9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18.77 </w:t>
            </w:r>
          </w:p>
        </w:tc>
        <w:tc>
          <w:tcPr>
            <w:tcW w:w="1121" w:type="dxa"/>
            <w:tcBorders>
              <w:top w:val="nil"/>
              <w:left w:val="nil"/>
              <w:bottom w:val="single" w:color="auto" w:sz="4" w:space="0"/>
              <w:right w:val="single" w:color="auto" w:sz="4" w:space="0"/>
            </w:tcBorders>
            <w:shd w:val="clear" w:color="auto" w:fill="auto"/>
            <w:noWrap/>
            <w:vAlign w:val="center"/>
          </w:tcPr>
          <w:p w14:paraId="69470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28" w:type="dxa"/>
            <w:tcBorders>
              <w:top w:val="nil"/>
              <w:left w:val="nil"/>
              <w:bottom w:val="single" w:color="auto" w:sz="4" w:space="0"/>
              <w:right w:val="single" w:color="auto" w:sz="4" w:space="0"/>
            </w:tcBorders>
            <w:shd w:val="clear" w:color="auto" w:fill="auto"/>
            <w:noWrap/>
            <w:vAlign w:val="center"/>
          </w:tcPr>
          <w:p w14:paraId="281995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7" w:type="dxa"/>
            <w:tcBorders>
              <w:top w:val="nil"/>
              <w:left w:val="nil"/>
              <w:bottom w:val="single" w:color="auto" w:sz="4" w:space="0"/>
              <w:right w:val="single" w:color="auto" w:sz="4" w:space="0"/>
            </w:tcBorders>
            <w:shd w:val="clear" w:color="auto" w:fill="auto"/>
            <w:noWrap/>
            <w:vAlign w:val="center"/>
          </w:tcPr>
          <w:p w14:paraId="1B9882D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5.51 </w:t>
            </w:r>
          </w:p>
        </w:tc>
        <w:tc>
          <w:tcPr>
            <w:tcW w:w="1223" w:type="dxa"/>
            <w:tcBorders>
              <w:top w:val="nil"/>
              <w:left w:val="nil"/>
              <w:bottom w:val="single" w:color="auto" w:sz="4" w:space="0"/>
              <w:right w:val="single" w:color="auto" w:sz="4" w:space="0"/>
            </w:tcBorders>
            <w:shd w:val="clear" w:color="auto" w:fill="auto"/>
            <w:noWrap/>
            <w:vAlign w:val="center"/>
          </w:tcPr>
          <w:p w14:paraId="53D98A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35" w:type="dxa"/>
            <w:tcBorders>
              <w:top w:val="nil"/>
              <w:left w:val="nil"/>
              <w:bottom w:val="single" w:color="auto" w:sz="4" w:space="0"/>
              <w:right w:val="single" w:color="auto" w:sz="4" w:space="0"/>
            </w:tcBorders>
            <w:shd w:val="clear" w:color="auto" w:fill="auto"/>
            <w:noWrap/>
            <w:vAlign w:val="center"/>
          </w:tcPr>
          <w:p w14:paraId="74607B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33" w:type="dxa"/>
            <w:tcBorders>
              <w:top w:val="nil"/>
              <w:left w:val="nil"/>
              <w:bottom w:val="single" w:color="auto" w:sz="4" w:space="0"/>
              <w:right w:val="single" w:color="auto" w:sz="4" w:space="0"/>
            </w:tcBorders>
            <w:shd w:val="clear" w:color="auto" w:fill="auto"/>
            <w:noWrap/>
            <w:vAlign w:val="center"/>
          </w:tcPr>
          <w:p w14:paraId="2157F9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08F856">
        <w:tblPrEx>
          <w:tblCellMar>
            <w:top w:w="0" w:type="dxa"/>
            <w:left w:w="108" w:type="dxa"/>
            <w:bottom w:w="0" w:type="dxa"/>
            <w:right w:w="108" w:type="dxa"/>
          </w:tblCellMar>
        </w:tblPrEx>
        <w:trPr>
          <w:trHeight w:val="242"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3CD7FE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64" w:type="dxa"/>
            <w:tcBorders>
              <w:top w:val="nil"/>
              <w:left w:val="nil"/>
              <w:bottom w:val="single" w:color="auto" w:sz="4" w:space="0"/>
              <w:right w:val="single" w:color="auto" w:sz="4" w:space="0"/>
            </w:tcBorders>
            <w:shd w:val="clear" w:color="auto" w:fill="auto"/>
            <w:noWrap/>
            <w:vAlign w:val="center"/>
          </w:tcPr>
          <w:p w14:paraId="411D27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70" w:type="dxa"/>
            <w:tcBorders>
              <w:top w:val="nil"/>
              <w:left w:val="nil"/>
              <w:bottom w:val="single" w:color="auto" w:sz="4" w:space="0"/>
              <w:right w:val="single" w:color="auto" w:sz="4" w:space="0"/>
            </w:tcBorders>
            <w:shd w:val="clear" w:color="auto" w:fill="auto"/>
            <w:noWrap/>
            <w:vAlign w:val="center"/>
          </w:tcPr>
          <w:p w14:paraId="2CBF23A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45.58 </w:t>
            </w:r>
          </w:p>
        </w:tc>
        <w:tc>
          <w:tcPr>
            <w:tcW w:w="1121" w:type="dxa"/>
            <w:tcBorders>
              <w:top w:val="nil"/>
              <w:left w:val="nil"/>
              <w:bottom w:val="single" w:color="auto" w:sz="4" w:space="0"/>
              <w:right w:val="single" w:color="auto" w:sz="4" w:space="0"/>
            </w:tcBorders>
            <w:shd w:val="clear" w:color="auto" w:fill="auto"/>
            <w:noWrap/>
            <w:vAlign w:val="center"/>
          </w:tcPr>
          <w:p w14:paraId="593D47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28" w:type="dxa"/>
            <w:tcBorders>
              <w:top w:val="nil"/>
              <w:left w:val="nil"/>
              <w:bottom w:val="single" w:color="auto" w:sz="4" w:space="0"/>
              <w:right w:val="single" w:color="auto" w:sz="4" w:space="0"/>
            </w:tcBorders>
            <w:shd w:val="clear" w:color="auto" w:fill="auto"/>
            <w:noWrap/>
            <w:vAlign w:val="center"/>
          </w:tcPr>
          <w:p w14:paraId="64EA4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7" w:type="dxa"/>
            <w:tcBorders>
              <w:top w:val="nil"/>
              <w:left w:val="nil"/>
              <w:bottom w:val="single" w:color="auto" w:sz="4" w:space="0"/>
              <w:right w:val="single" w:color="auto" w:sz="4" w:space="0"/>
            </w:tcBorders>
            <w:shd w:val="clear" w:color="auto" w:fill="auto"/>
            <w:noWrap/>
            <w:vAlign w:val="center"/>
          </w:tcPr>
          <w:p w14:paraId="4E95313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4569F2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35" w:type="dxa"/>
            <w:tcBorders>
              <w:top w:val="nil"/>
              <w:left w:val="nil"/>
              <w:bottom w:val="single" w:color="auto" w:sz="4" w:space="0"/>
              <w:right w:val="single" w:color="auto" w:sz="4" w:space="0"/>
            </w:tcBorders>
            <w:shd w:val="clear" w:color="auto" w:fill="auto"/>
            <w:noWrap/>
            <w:vAlign w:val="center"/>
          </w:tcPr>
          <w:p w14:paraId="31A4F5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33" w:type="dxa"/>
            <w:tcBorders>
              <w:top w:val="nil"/>
              <w:left w:val="nil"/>
              <w:bottom w:val="single" w:color="auto" w:sz="4" w:space="0"/>
              <w:right w:val="single" w:color="auto" w:sz="4" w:space="0"/>
            </w:tcBorders>
            <w:shd w:val="clear" w:color="auto" w:fill="auto"/>
            <w:noWrap/>
            <w:vAlign w:val="center"/>
          </w:tcPr>
          <w:p w14:paraId="488210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E977F5">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2F680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64" w:type="dxa"/>
            <w:tcBorders>
              <w:top w:val="nil"/>
              <w:left w:val="nil"/>
              <w:bottom w:val="single" w:color="auto" w:sz="4" w:space="0"/>
              <w:right w:val="single" w:color="auto" w:sz="4" w:space="0"/>
            </w:tcBorders>
            <w:shd w:val="clear" w:color="auto" w:fill="auto"/>
            <w:noWrap/>
            <w:vAlign w:val="center"/>
          </w:tcPr>
          <w:p w14:paraId="51EE02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70" w:type="dxa"/>
            <w:tcBorders>
              <w:top w:val="nil"/>
              <w:left w:val="nil"/>
              <w:bottom w:val="single" w:color="auto" w:sz="4" w:space="0"/>
              <w:right w:val="single" w:color="auto" w:sz="4" w:space="0"/>
            </w:tcBorders>
            <w:shd w:val="clear" w:color="auto" w:fill="auto"/>
            <w:noWrap/>
            <w:vAlign w:val="center"/>
          </w:tcPr>
          <w:p w14:paraId="35CB982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0667C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28" w:type="dxa"/>
            <w:tcBorders>
              <w:top w:val="nil"/>
              <w:left w:val="nil"/>
              <w:bottom w:val="single" w:color="auto" w:sz="4" w:space="0"/>
              <w:right w:val="single" w:color="auto" w:sz="4" w:space="0"/>
            </w:tcBorders>
            <w:shd w:val="clear" w:color="auto" w:fill="auto"/>
            <w:noWrap/>
            <w:vAlign w:val="center"/>
          </w:tcPr>
          <w:p w14:paraId="2461DF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7" w:type="dxa"/>
            <w:tcBorders>
              <w:top w:val="nil"/>
              <w:left w:val="nil"/>
              <w:bottom w:val="single" w:color="auto" w:sz="4" w:space="0"/>
              <w:right w:val="single" w:color="auto" w:sz="4" w:space="0"/>
            </w:tcBorders>
            <w:shd w:val="clear" w:color="auto" w:fill="auto"/>
            <w:noWrap/>
            <w:vAlign w:val="center"/>
          </w:tcPr>
          <w:p w14:paraId="3CA85F8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601AF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35" w:type="dxa"/>
            <w:tcBorders>
              <w:top w:val="nil"/>
              <w:left w:val="nil"/>
              <w:bottom w:val="single" w:color="auto" w:sz="4" w:space="0"/>
              <w:right w:val="single" w:color="auto" w:sz="4" w:space="0"/>
            </w:tcBorders>
            <w:shd w:val="clear" w:color="auto" w:fill="auto"/>
            <w:noWrap/>
            <w:vAlign w:val="center"/>
          </w:tcPr>
          <w:p w14:paraId="300E2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33" w:type="dxa"/>
            <w:tcBorders>
              <w:top w:val="nil"/>
              <w:left w:val="nil"/>
              <w:bottom w:val="single" w:color="auto" w:sz="4" w:space="0"/>
              <w:right w:val="single" w:color="auto" w:sz="4" w:space="0"/>
            </w:tcBorders>
            <w:shd w:val="clear" w:color="auto" w:fill="auto"/>
            <w:noWrap/>
            <w:vAlign w:val="center"/>
          </w:tcPr>
          <w:p w14:paraId="2AEEC1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BBEF90">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4C8087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64" w:type="dxa"/>
            <w:tcBorders>
              <w:top w:val="nil"/>
              <w:left w:val="nil"/>
              <w:bottom w:val="single" w:color="auto" w:sz="4" w:space="0"/>
              <w:right w:val="single" w:color="auto" w:sz="4" w:space="0"/>
            </w:tcBorders>
            <w:shd w:val="clear" w:color="auto" w:fill="auto"/>
            <w:noWrap/>
            <w:vAlign w:val="center"/>
          </w:tcPr>
          <w:p w14:paraId="6307C3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70" w:type="dxa"/>
            <w:tcBorders>
              <w:top w:val="nil"/>
              <w:left w:val="nil"/>
              <w:bottom w:val="single" w:color="auto" w:sz="4" w:space="0"/>
              <w:right w:val="single" w:color="auto" w:sz="4" w:space="0"/>
            </w:tcBorders>
            <w:shd w:val="clear" w:color="auto" w:fill="auto"/>
            <w:noWrap/>
            <w:vAlign w:val="center"/>
          </w:tcPr>
          <w:p w14:paraId="35B261D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10.07 </w:t>
            </w:r>
          </w:p>
        </w:tc>
        <w:tc>
          <w:tcPr>
            <w:tcW w:w="1121" w:type="dxa"/>
            <w:tcBorders>
              <w:top w:val="nil"/>
              <w:left w:val="nil"/>
              <w:bottom w:val="single" w:color="auto" w:sz="4" w:space="0"/>
              <w:right w:val="single" w:color="auto" w:sz="4" w:space="0"/>
            </w:tcBorders>
            <w:shd w:val="clear" w:color="auto" w:fill="auto"/>
            <w:noWrap/>
            <w:vAlign w:val="center"/>
          </w:tcPr>
          <w:p w14:paraId="0349D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28" w:type="dxa"/>
            <w:tcBorders>
              <w:top w:val="nil"/>
              <w:left w:val="nil"/>
              <w:bottom w:val="single" w:color="auto" w:sz="4" w:space="0"/>
              <w:right w:val="single" w:color="auto" w:sz="4" w:space="0"/>
            </w:tcBorders>
            <w:shd w:val="clear" w:color="auto" w:fill="auto"/>
            <w:noWrap/>
            <w:vAlign w:val="center"/>
          </w:tcPr>
          <w:p w14:paraId="1DFEF7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7" w:type="dxa"/>
            <w:tcBorders>
              <w:top w:val="nil"/>
              <w:left w:val="nil"/>
              <w:bottom w:val="single" w:color="auto" w:sz="4" w:space="0"/>
              <w:right w:val="single" w:color="auto" w:sz="4" w:space="0"/>
            </w:tcBorders>
            <w:shd w:val="clear" w:color="auto" w:fill="auto"/>
            <w:noWrap/>
            <w:vAlign w:val="center"/>
          </w:tcPr>
          <w:p w14:paraId="3FC3C8B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1.32 </w:t>
            </w:r>
          </w:p>
        </w:tc>
        <w:tc>
          <w:tcPr>
            <w:tcW w:w="1223" w:type="dxa"/>
            <w:tcBorders>
              <w:top w:val="nil"/>
              <w:left w:val="nil"/>
              <w:bottom w:val="single" w:color="auto" w:sz="4" w:space="0"/>
              <w:right w:val="single" w:color="auto" w:sz="4" w:space="0"/>
            </w:tcBorders>
            <w:shd w:val="clear" w:color="auto" w:fill="auto"/>
            <w:noWrap/>
            <w:vAlign w:val="center"/>
          </w:tcPr>
          <w:p w14:paraId="2E78BA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35" w:type="dxa"/>
            <w:tcBorders>
              <w:top w:val="nil"/>
              <w:left w:val="nil"/>
              <w:bottom w:val="single" w:color="auto" w:sz="4" w:space="0"/>
              <w:right w:val="single" w:color="auto" w:sz="4" w:space="0"/>
            </w:tcBorders>
            <w:shd w:val="clear" w:color="auto" w:fill="auto"/>
            <w:noWrap/>
            <w:vAlign w:val="center"/>
          </w:tcPr>
          <w:p w14:paraId="2328AF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33" w:type="dxa"/>
            <w:tcBorders>
              <w:top w:val="nil"/>
              <w:left w:val="nil"/>
              <w:bottom w:val="single" w:color="auto" w:sz="4" w:space="0"/>
              <w:right w:val="single" w:color="auto" w:sz="4" w:space="0"/>
            </w:tcBorders>
            <w:shd w:val="clear" w:color="auto" w:fill="auto"/>
            <w:noWrap/>
            <w:vAlign w:val="center"/>
          </w:tcPr>
          <w:p w14:paraId="697EF2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E30AF8">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4B355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64" w:type="dxa"/>
            <w:tcBorders>
              <w:top w:val="nil"/>
              <w:left w:val="nil"/>
              <w:bottom w:val="single" w:color="auto" w:sz="4" w:space="0"/>
              <w:right w:val="single" w:color="auto" w:sz="4" w:space="0"/>
            </w:tcBorders>
            <w:shd w:val="clear" w:color="auto" w:fill="auto"/>
            <w:noWrap/>
            <w:vAlign w:val="center"/>
          </w:tcPr>
          <w:p w14:paraId="5A11E8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70" w:type="dxa"/>
            <w:tcBorders>
              <w:top w:val="nil"/>
              <w:left w:val="nil"/>
              <w:bottom w:val="single" w:color="auto" w:sz="4" w:space="0"/>
              <w:right w:val="single" w:color="auto" w:sz="4" w:space="0"/>
            </w:tcBorders>
            <w:shd w:val="clear" w:color="auto" w:fill="auto"/>
            <w:noWrap/>
            <w:vAlign w:val="center"/>
          </w:tcPr>
          <w:p w14:paraId="770CA11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56.11 </w:t>
            </w:r>
          </w:p>
        </w:tc>
        <w:tc>
          <w:tcPr>
            <w:tcW w:w="1121" w:type="dxa"/>
            <w:tcBorders>
              <w:top w:val="nil"/>
              <w:left w:val="nil"/>
              <w:bottom w:val="single" w:color="auto" w:sz="4" w:space="0"/>
              <w:right w:val="single" w:color="auto" w:sz="4" w:space="0"/>
            </w:tcBorders>
            <w:shd w:val="clear" w:color="auto" w:fill="auto"/>
            <w:noWrap/>
            <w:vAlign w:val="center"/>
          </w:tcPr>
          <w:p w14:paraId="7B6F15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28" w:type="dxa"/>
            <w:tcBorders>
              <w:top w:val="nil"/>
              <w:left w:val="nil"/>
              <w:bottom w:val="single" w:color="auto" w:sz="4" w:space="0"/>
              <w:right w:val="single" w:color="auto" w:sz="4" w:space="0"/>
            </w:tcBorders>
            <w:shd w:val="clear" w:color="auto" w:fill="auto"/>
            <w:noWrap/>
            <w:vAlign w:val="center"/>
          </w:tcPr>
          <w:p w14:paraId="59053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7" w:type="dxa"/>
            <w:tcBorders>
              <w:top w:val="nil"/>
              <w:left w:val="nil"/>
              <w:bottom w:val="single" w:color="auto" w:sz="4" w:space="0"/>
              <w:right w:val="single" w:color="auto" w:sz="4" w:space="0"/>
            </w:tcBorders>
            <w:shd w:val="clear" w:color="auto" w:fill="auto"/>
            <w:noWrap/>
            <w:vAlign w:val="center"/>
          </w:tcPr>
          <w:p w14:paraId="3BB5E42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25CAE3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35" w:type="dxa"/>
            <w:tcBorders>
              <w:top w:val="nil"/>
              <w:left w:val="nil"/>
              <w:bottom w:val="single" w:color="auto" w:sz="4" w:space="0"/>
              <w:right w:val="single" w:color="auto" w:sz="4" w:space="0"/>
            </w:tcBorders>
            <w:shd w:val="clear" w:color="auto" w:fill="auto"/>
            <w:noWrap/>
            <w:vAlign w:val="center"/>
          </w:tcPr>
          <w:p w14:paraId="4EBEF0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33" w:type="dxa"/>
            <w:tcBorders>
              <w:top w:val="nil"/>
              <w:left w:val="nil"/>
              <w:bottom w:val="single" w:color="auto" w:sz="4" w:space="0"/>
              <w:right w:val="single" w:color="auto" w:sz="4" w:space="0"/>
            </w:tcBorders>
            <w:shd w:val="clear" w:color="auto" w:fill="auto"/>
            <w:noWrap/>
            <w:vAlign w:val="center"/>
          </w:tcPr>
          <w:p w14:paraId="5FB789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C19AB6">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3A50F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64" w:type="dxa"/>
            <w:tcBorders>
              <w:top w:val="nil"/>
              <w:left w:val="nil"/>
              <w:bottom w:val="single" w:color="auto" w:sz="4" w:space="0"/>
              <w:right w:val="single" w:color="auto" w:sz="4" w:space="0"/>
            </w:tcBorders>
            <w:shd w:val="clear" w:color="auto" w:fill="auto"/>
            <w:noWrap/>
            <w:vAlign w:val="center"/>
          </w:tcPr>
          <w:p w14:paraId="19457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70" w:type="dxa"/>
            <w:tcBorders>
              <w:top w:val="nil"/>
              <w:left w:val="nil"/>
              <w:bottom w:val="single" w:color="auto" w:sz="4" w:space="0"/>
              <w:right w:val="single" w:color="auto" w:sz="4" w:space="0"/>
            </w:tcBorders>
            <w:shd w:val="clear" w:color="auto" w:fill="auto"/>
            <w:noWrap/>
            <w:vAlign w:val="center"/>
          </w:tcPr>
          <w:p w14:paraId="1232E1B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0412AD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28" w:type="dxa"/>
            <w:tcBorders>
              <w:top w:val="nil"/>
              <w:left w:val="nil"/>
              <w:bottom w:val="single" w:color="auto" w:sz="4" w:space="0"/>
              <w:right w:val="single" w:color="auto" w:sz="4" w:space="0"/>
            </w:tcBorders>
            <w:shd w:val="clear" w:color="auto" w:fill="auto"/>
            <w:noWrap/>
            <w:vAlign w:val="center"/>
          </w:tcPr>
          <w:p w14:paraId="76904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7" w:type="dxa"/>
            <w:tcBorders>
              <w:top w:val="nil"/>
              <w:left w:val="nil"/>
              <w:bottom w:val="single" w:color="auto" w:sz="4" w:space="0"/>
              <w:right w:val="single" w:color="auto" w:sz="4" w:space="0"/>
            </w:tcBorders>
            <w:shd w:val="clear" w:color="auto" w:fill="auto"/>
            <w:noWrap/>
            <w:vAlign w:val="center"/>
          </w:tcPr>
          <w:p w14:paraId="1564743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51.03 </w:t>
            </w:r>
          </w:p>
        </w:tc>
        <w:tc>
          <w:tcPr>
            <w:tcW w:w="1223" w:type="dxa"/>
            <w:tcBorders>
              <w:top w:val="nil"/>
              <w:left w:val="nil"/>
              <w:bottom w:val="single" w:color="auto" w:sz="4" w:space="0"/>
              <w:right w:val="single" w:color="auto" w:sz="4" w:space="0"/>
            </w:tcBorders>
            <w:shd w:val="clear" w:color="auto" w:fill="auto"/>
            <w:noWrap/>
            <w:vAlign w:val="center"/>
          </w:tcPr>
          <w:p w14:paraId="6157B5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35" w:type="dxa"/>
            <w:tcBorders>
              <w:top w:val="nil"/>
              <w:left w:val="nil"/>
              <w:bottom w:val="single" w:color="auto" w:sz="4" w:space="0"/>
              <w:right w:val="single" w:color="auto" w:sz="4" w:space="0"/>
            </w:tcBorders>
            <w:shd w:val="clear" w:color="auto" w:fill="auto"/>
            <w:noWrap/>
            <w:vAlign w:val="center"/>
          </w:tcPr>
          <w:p w14:paraId="4A9AB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33" w:type="dxa"/>
            <w:tcBorders>
              <w:top w:val="nil"/>
              <w:left w:val="nil"/>
              <w:bottom w:val="single" w:color="auto" w:sz="4" w:space="0"/>
              <w:right w:val="single" w:color="auto" w:sz="4" w:space="0"/>
            </w:tcBorders>
            <w:shd w:val="clear" w:color="auto" w:fill="auto"/>
            <w:noWrap/>
            <w:vAlign w:val="center"/>
          </w:tcPr>
          <w:p w14:paraId="5BF50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A0B24E">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5A77D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64" w:type="dxa"/>
            <w:tcBorders>
              <w:top w:val="nil"/>
              <w:left w:val="nil"/>
              <w:bottom w:val="single" w:color="auto" w:sz="4" w:space="0"/>
              <w:right w:val="single" w:color="auto" w:sz="4" w:space="0"/>
            </w:tcBorders>
            <w:shd w:val="clear" w:color="auto" w:fill="auto"/>
            <w:noWrap/>
            <w:vAlign w:val="center"/>
          </w:tcPr>
          <w:p w14:paraId="058C64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70" w:type="dxa"/>
            <w:tcBorders>
              <w:top w:val="nil"/>
              <w:left w:val="nil"/>
              <w:bottom w:val="single" w:color="auto" w:sz="4" w:space="0"/>
              <w:right w:val="single" w:color="auto" w:sz="4" w:space="0"/>
            </w:tcBorders>
            <w:shd w:val="clear" w:color="auto" w:fill="auto"/>
            <w:noWrap/>
            <w:vAlign w:val="center"/>
          </w:tcPr>
          <w:p w14:paraId="5FFDE25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4.51 </w:t>
            </w:r>
          </w:p>
        </w:tc>
        <w:tc>
          <w:tcPr>
            <w:tcW w:w="1121" w:type="dxa"/>
            <w:tcBorders>
              <w:top w:val="nil"/>
              <w:left w:val="nil"/>
              <w:bottom w:val="single" w:color="auto" w:sz="4" w:space="0"/>
              <w:right w:val="single" w:color="auto" w:sz="4" w:space="0"/>
            </w:tcBorders>
            <w:shd w:val="clear" w:color="auto" w:fill="auto"/>
            <w:noWrap/>
            <w:vAlign w:val="center"/>
          </w:tcPr>
          <w:p w14:paraId="291A7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28" w:type="dxa"/>
            <w:tcBorders>
              <w:top w:val="nil"/>
              <w:left w:val="nil"/>
              <w:bottom w:val="single" w:color="auto" w:sz="4" w:space="0"/>
              <w:right w:val="single" w:color="auto" w:sz="4" w:space="0"/>
            </w:tcBorders>
            <w:shd w:val="clear" w:color="auto" w:fill="auto"/>
            <w:noWrap/>
            <w:vAlign w:val="center"/>
          </w:tcPr>
          <w:p w14:paraId="09BFF0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7" w:type="dxa"/>
            <w:tcBorders>
              <w:top w:val="nil"/>
              <w:left w:val="nil"/>
              <w:bottom w:val="single" w:color="auto" w:sz="4" w:space="0"/>
              <w:right w:val="single" w:color="auto" w:sz="4" w:space="0"/>
            </w:tcBorders>
            <w:shd w:val="clear" w:color="auto" w:fill="auto"/>
            <w:noWrap/>
            <w:vAlign w:val="center"/>
          </w:tcPr>
          <w:p w14:paraId="4988DAC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2E67CC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35" w:type="dxa"/>
            <w:tcBorders>
              <w:top w:val="nil"/>
              <w:left w:val="nil"/>
              <w:bottom w:val="single" w:color="auto" w:sz="4" w:space="0"/>
              <w:right w:val="single" w:color="auto" w:sz="4" w:space="0"/>
            </w:tcBorders>
            <w:shd w:val="clear" w:color="auto" w:fill="auto"/>
            <w:noWrap/>
            <w:vAlign w:val="center"/>
          </w:tcPr>
          <w:p w14:paraId="3923D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33" w:type="dxa"/>
            <w:tcBorders>
              <w:top w:val="nil"/>
              <w:left w:val="nil"/>
              <w:bottom w:val="single" w:color="auto" w:sz="4" w:space="0"/>
              <w:right w:val="single" w:color="auto" w:sz="4" w:space="0"/>
            </w:tcBorders>
            <w:shd w:val="clear" w:color="auto" w:fill="auto"/>
            <w:noWrap/>
            <w:vAlign w:val="center"/>
          </w:tcPr>
          <w:p w14:paraId="5F2F7B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8C46FD">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4D7E58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64" w:type="dxa"/>
            <w:tcBorders>
              <w:top w:val="nil"/>
              <w:left w:val="nil"/>
              <w:bottom w:val="single" w:color="auto" w:sz="4" w:space="0"/>
              <w:right w:val="single" w:color="auto" w:sz="4" w:space="0"/>
            </w:tcBorders>
            <w:shd w:val="clear" w:color="auto" w:fill="auto"/>
            <w:noWrap/>
            <w:vAlign w:val="center"/>
          </w:tcPr>
          <w:p w14:paraId="2C0D44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70" w:type="dxa"/>
            <w:tcBorders>
              <w:top w:val="nil"/>
              <w:left w:val="nil"/>
              <w:bottom w:val="single" w:color="auto" w:sz="4" w:space="0"/>
              <w:right w:val="single" w:color="auto" w:sz="4" w:space="0"/>
            </w:tcBorders>
            <w:shd w:val="clear" w:color="auto" w:fill="auto"/>
            <w:noWrap/>
            <w:vAlign w:val="center"/>
          </w:tcPr>
          <w:p w14:paraId="6979DE8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16.64 </w:t>
            </w:r>
          </w:p>
        </w:tc>
        <w:tc>
          <w:tcPr>
            <w:tcW w:w="1121" w:type="dxa"/>
            <w:tcBorders>
              <w:top w:val="nil"/>
              <w:left w:val="nil"/>
              <w:bottom w:val="single" w:color="auto" w:sz="4" w:space="0"/>
              <w:right w:val="single" w:color="auto" w:sz="4" w:space="0"/>
            </w:tcBorders>
            <w:shd w:val="clear" w:color="auto" w:fill="auto"/>
            <w:noWrap/>
            <w:vAlign w:val="center"/>
          </w:tcPr>
          <w:p w14:paraId="39B913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28" w:type="dxa"/>
            <w:tcBorders>
              <w:top w:val="nil"/>
              <w:left w:val="nil"/>
              <w:bottom w:val="single" w:color="auto" w:sz="4" w:space="0"/>
              <w:right w:val="single" w:color="auto" w:sz="4" w:space="0"/>
            </w:tcBorders>
            <w:shd w:val="clear" w:color="auto" w:fill="auto"/>
            <w:noWrap/>
            <w:vAlign w:val="center"/>
          </w:tcPr>
          <w:p w14:paraId="147FC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7" w:type="dxa"/>
            <w:tcBorders>
              <w:top w:val="nil"/>
              <w:left w:val="nil"/>
              <w:bottom w:val="single" w:color="auto" w:sz="4" w:space="0"/>
              <w:right w:val="single" w:color="auto" w:sz="4" w:space="0"/>
            </w:tcBorders>
            <w:shd w:val="clear" w:color="auto" w:fill="auto"/>
            <w:noWrap/>
            <w:vAlign w:val="center"/>
          </w:tcPr>
          <w:p w14:paraId="1B473C2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6D63FF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35" w:type="dxa"/>
            <w:tcBorders>
              <w:top w:val="nil"/>
              <w:left w:val="nil"/>
              <w:bottom w:val="single" w:color="auto" w:sz="4" w:space="0"/>
              <w:right w:val="single" w:color="auto" w:sz="4" w:space="0"/>
            </w:tcBorders>
            <w:shd w:val="clear" w:color="auto" w:fill="auto"/>
            <w:noWrap/>
            <w:vAlign w:val="center"/>
          </w:tcPr>
          <w:p w14:paraId="73A331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33" w:type="dxa"/>
            <w:tcBorders>
              <w:top w:val="nil"/>
              <w:left w:val="nil"/>
              <w:bottom w:val="single" w:color="auto" w:sz="4" w:space="0"/>
              <w:right w:val="single" w:color="auto" w:sz="4" w:space="0"/>
            </w:tcBorders>
            <w:shd w:val="clear" w:color="auto" w:fill="auto"/>
            <w:noWrap/>
            <w:vAlign w:val="center"/>
          </w:tcPr>
          <w:p w14:paraId="669295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C4A5A2">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547B0C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64" w:type="dxa"/>
            <w:tcBorders>
              <w:top w:val="nil"/>
              <w:left w:val="nil"/>
              <w:bottom w:val="single" w:color="auto" w:sz="4" w:space="0"/>
              <w:right w:val="single" w:color="auto" w:sz="4" w:space="0"/>
            </w:tcBorders>
            <w:shd w:val="clear" w:color="auto" w:fill="auto"/>
            <w:noWrap/>
            <w:vAlign w:val="center"/>
          </w:tcPr>
          <w:p w14:paraId="37A057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70" w:type="dxa"/>
            <w:tcBorders>
              <w:top w:val="nil"/>
              <w:left w:val="nil"/>
              <w:bottom w:val="single" w:color="auto" w:sz="4" w:space="0"/>
              <w:right w:val="single" w:color="auto" w:sz="4" w:space="0"/>
            </w:tcBorders>
            <w:shd w:val="clear" w:color="auto" w:fill="auto"/>
            <w:noWrap/>
            <w:vAlign w:val="center"/>
          </w:tcPr>
          <w:p w14:paraId="0307C47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37935B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28" w:type="dxa"/>
            <w:tcBorders>
              <w:top w:val="nil"/>
              <w:left w:val="nil"/>
              <w:bottom w:val="single" w:color="auto" w:sz="4" w:space="0"/>
              <w:right w:val="single" w:color="auto" w:sz="4" w:space="0"/>
            </w:tcBorders>
            <w:shd w:val="clear" w:color="auto" w:fill="auto"/>
            <w:noWrap/>
            <w:vAlign w:val="center"/>
          </w:tcPr>
          <w:p w14:paraId="7A47E2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7" w:type="dxa"/>
            <w:tcBorders>
              <w:top w:val="nil"/>
              <w:left w:val="nil"/>
              <w:bottom w:val="single" w:color="auto" w:sz="4" w:space="0"/>
              <w:right w:val="single" w:color="auto" w:sz="4" w:space="0"/>
            </w:tcBorders>
            <w:shd w:val="clear" w:color="auto" w:fill="auto"/>
            <w:noWrap/>
            <w:vAlign w:val="center"/>
          </w:tcPr>
          <w:p w14:paraId="080BA13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144FE6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35" w:type="dxa"/>
            <w:tcBorders>
              <w:top w:val="nil"/>
              <w:left w:val="nil"/>
              <w:bottom w:val="single" w:color="auto" w:sz="4" w:space="0"/>
              <w:right w:val="single" w:color="auto" w:sz="4" w:space="0"/>
            </w:tcBorders>
            <w:shd w:val="clear" w:color="auto" w:fill="auto"/>
            <w:noWrap/>
            <w:vAlign w:val="center"/>
          </w:tcPr>
          <w:p w14:paraId="4FB24A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33" w:type="dxa"/>
            <w:tcBorders>
              <w:top w:val="nil"/>
              <w:left w:val="nil"/>
              <w:bottom w:val="single" w:color="auto" w:sz="4" w:space="0"/>
              <w:right w:val="single" w:color="auto" w:sz="4" w:space="0"/>
            </w:tcBorders>
            <w:shd w:val="clear" w:color="auto" w:fill="auto"/>
            <w:noWrap/>
            <w:vAlign w:val="center"/>
          </w:tcPr>
          <w:p w14:paraId="55FF7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2A785B">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7437C9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64" w:type="dxa"/>
            <w:tcBorders>
              <w:top w:val="nil"/>
              <w:left w:val="nil"/>
              <w:bottom w:val="single" w:color="auto" w:sz="4" w:space="0"/>
              <w:right w:val="single" w:color="auto" w:sz="4" w:space="0"/>
            </w:tcBorders>
            <w:shd w:val="clear" w:color="auto" w:fill="auto"/>
            <w:noWrap/>
            <w:vAlign w:val="center"/>
          </w:tcPr>
          <w:p w14:paraId="490AC8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70" w:type="dxa"/>
            <w:tcBorders>
              <w:top w:val="nil"/>
              <w:left w:val="nil"/>
              <w:bottom w:val="single" w:color="auto" w:sz="4" w:space="0"/>
              <w:right w:val="single" w:color="auto" w:sz="4" w:space="0"/>
            </w:tcBorders>
            <w:shd w:val="clear" w:color="auto" w:fill="auto"/>
            <w:noWrap/>
            <w:vAlign w:val="center"/>
          </w:tcPr>
          <w:p w14:paraId="1C1154D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6F9EFD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28" w:type="dxa"/>
            <w:tcBorders>
              <w:top w:val="nil"/>
              <w:left w:val="nil"/>
              <w:bottom w:val="single" w:color="auto" w:sz="4" w:space="0"/>
              <w:right w:val="single" w:color="auto" w:sz="4" w:space="0"/>
            </w:tcBorders>
            <w:shd w:val="clear" w:color="auto" w:fill="auto"/>
            <w:noWrap/>
            <w:vAlign w:val="center"/>
          </w:tcPr>
          <w:p w14:paraId="0747D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7" w:type="dxa"/>
            <w:tcBorders>
              <w:top w:val="nil"/>
              <w:left w:val="nil"/>
              <w:bottom w:val="single" w:color="auto" w:sz="4" w:space="0"/>
              <w:right w:val="single" w:color="auto" w:sz="4" w:space="0"/>
            </w:tcBorders>
            <w:shd w:val="clear" w:color="auto" w:fill="auto"/>
            <w:noWrap/>
            <w:vAlign w:val="center"/>
          </w:tcPr>
          <w:p w14:paraId="131F5C4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35BC4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35" w:type="dxa"/>
            <w:tcBorders>
              <w:top w:val="nil"/>
              <w:left w:val="nil"/>
              <w:bottom w:val="single" w:color="auto" w:sz="4" w:space="0"/>
              <w:right w:val="single" w:color="auto" w:sz="4" w:space="0"/>
            </w:tcBorders>
            <w:shd w:val="clear" w:color="auto" w:fill="auto"/>
            <w:noWrap/>
            <w:vAlign w:val="center"/>
          </w:tcPr>
          <w:p w14:paraId="505D0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33" w:type="dxa"/>
            <w:tcBorders>
              <w:top w:val="nil"/>
              <w:left w:val="nil"/>
              <w:bottom w:val="single" w:color="auto" w:sz="4" w:space="0"/>
              <w:right w:val="single" w:color="auto" w:sz="4" w:space="0"/>
            </w:tcBorders>
            <w:shd w:val="clear" w:color="auto" w:fill="auto"/>
            <w:noWrap/>
            <w:vAlign w:val="center"/>
          </w:tcPr>
          <w:p w14:paraId="7B7C6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B4CD98">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64FFA6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64" w:type="dxa"/>
            <w:tcBorders>
              <w:top w:val="nil"/>
              <w:left w:val="nil"/>
              <w:bottom w:val="single" w:color="auto" w:sz="4" w:space="0"/>
              <w:right w:val="single" w:color="auto" w:sz="4" w:space="0"/>
            </w:tcBorders>
            <w:shd w:val="clear" w:color="auto" w:fill="auto"/>
            <w:noWrap/>
            <w:vAlign w:val="center"/>
          </w:tcPr>
          <w:p w14:paraId="1A8C3B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70" w:type="dxa"/>
            <w:tcBorders>
              <w:top w:val="nil"/>
              <w:left w:val="nil"/>
              <w:bottom w:val="single" w:color="auto" w:sz="4" w:space="0"/>
              <w:right w:val="single" w:color="auto" w:sz="4" w:space="0"/>
            </w:tcBorders>
            <w:shd w:val="clear" w:color="auto" w:fill="auto"/>
            <w:noWrap/>
            <w:vAlign w:val="center"/>
          </w:tcPr>
          <w:p w14:paraId="1C580F1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48D0D6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28" w:type="dxa"/>
            <w:tcBorders>
              <w:top w:val="nil"/>
              <w:left w:val="nil"/>
              <w:bottom w:val="single" w:color="auto" w:sz="4" w:space="0"/>
              <w:right w:val="single" w:color="auto" w:sz="4" w:space="0"/>
            </w:tcBorders>
            <w:shd w:val="clear" w:color="auto" w:fill="auto"/>
            <w:noWrap/>
            <w:vAlign w:val="center"/>
          </w:tcPr>
          <w:p w14:paraId="1C95CA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7" w:type="dxa"/>
            <w:tcBorders>
              <w:top w:val="nil"/>
              <w:left w:val="nil"/>
              <w:bottom w:val="single" w:color="auto" w:sz="4" w:space="0"/>
              <w:right w:val="single" w:color="auto" w:sz="4" w:space="0"/>
            </w:tcBorders>
            <w:shd w:val="clear" w:color="auto" w:fill="auto"/>
            <w:noWrap/>
            <w:vAlign w:val="center"/>
          </w:tcPr>
          <w:p w14:paraId="652BB0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4AF75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35" w:type="dxa"/>
            <w:tcBorders>
              <w:top w:val="nil"/>
              <w:left w:val="nil"/>
              <w:bottom w:val="single" w:color="auto" w:sz="4" w:space="0"/>
              <w:right w:val="single" w:color="auto" w:sz="4" w:space="0"/>
            </w:tcBorders>
            <w:shd w:val="clear" w:color="auto" w:fill="auto"/>
            <w:noWrap/>
            <w:vAlign w:val="center"/>
          </w:tcPr>
          <w:p w14:paraId="59FD3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33" w:type="dxa"/>
            <w:tcBorders>
              <w:top w:val="nil"/>
              <w:left w:val="nil"/>
              <w:bottom w:val="single" w:color="auto" w:sz="4" w:space="0"/>
              <w:right w:val="single" w:color="auto" w:sz="4" w:space="0"/>
            </w:tcBorders>
            <w:shd w:val="clear" w:color="auto" w:fill="auto"/>
            <w:noWrap/>
            <w:vAlign w:val="center"/>
          </w:tcPr>
          <w:p w14:paraId="210C4E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2D0DF7">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562A1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64" w:type="dxa"/>
            <w:tcBorders>
              <w:top w:val="nil"/>
              <w:left w:val="nil"/>
              <w:bottom w:val="single" w:color="auto" w:sz="4" w:space="0"/>
              <w:right w:val="single" w:color="auto" w:sz="4" w:space="0"/>
            </w:tcBorders>
            <w:shd w:val="clear" w:color="auto" w:fill="auto"/>
            <w:noWrap/>
            <w:vAlign w:val="center"/>
          </w:tcPr>
          <w:p w14:paraId="2B88C2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70" w:type="dxa"/>
            <w:tcBorders>
              <w:top w:val="nil"/>
              <w:left w:val="nil"/>
              <w:bottom w:val="single" w:color="auto" w:sz="4" w:space="0"/>
              <w:right w:val="single" w:color="auto" w:sz="4" w:space="0"/>
            </w:tcBorders>
            <w:shd w:val="clear" w:color="auto" w:fill="auto"/>
            <w:noWrap/>
            <w:vAlign w:val="center"/>
          </w:tcPr>
          <w:p w14:paraId="31C145C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2.17 </w:t>
            </w:r>
          </w:p>
        </w:tc>
        <w:tc>
          <w:tcPr>
            <w:tcW w:w="1121" w:type="dxa"/>
            <w:tcBorders>
              <w:top w:val="nil"/>
              <w:left w:val="nil"/>
              <w:bottom w:val="single" w:color="auto" w:sz="4" w:space="0"/>
              <w:right w:val="single" w:color="auto" w:sz="4" w:space="0"/>
            </w:tcBorders>
            <w:shd w:val="clear" w:color="auto" w:fill="auto"/>
            <w:noWrap/>
            <w:vAlign w:val="center"/>
          </w:tcPr>
          <w:p w14:paraId="3F3834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28" w:type="dxa"/>
            <w:tcBorders>
              <w:top w:val="nil"/>
              <w:left w:val="nil"/>
              <w:bottom w:val="single" w:color="auto" w:sz="4" w:space="0"/>
              <w:right w:val="single" w:color="auto" w:sz="4" w:space="0"/>
            </w:tcBorders>
            <w:shd w:val="clear" w:color="auto" w:fill="auto"/>
            <w:noWrap/>
            <w:vAlign w:val="center"/>
          </w:tcPr>
          <w:p w14:paraId="1D2C21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7" w:type="dxa"/>
            <w:tcBorders>
              <w:top w:val="nil"/>
              <w:left w:val="nil"/>
              <w:bottom w:val="single" w:color="auto" w:sz="4" w:space="0"/>
              <w:right w:val="single" w:color="auto" w:sz="4" w:space="0"/>
            </w:tcBorders>
            <w:shd w:val="clear" w:color="auto" w:fill="auto"/>
            <w:noWrap/>
            <w:vAlign w:val="center"/>
          </w:tcPr>
          <w:p w14:paraId="2E7CEEF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33B6B0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35" w:type="dxa"/>
            <w:tcBorders>
              <w:top w:val="nil"/>
              <w:left w:val="nil"/>
              <w:bottom w:val="single" w:color="auto" w:sz="4" w:space="0"/>
              <w:right w:val="single" w:color="auto" w:sz="4" w:space="0"/>
            </w:tcBorders>
            <w:shd w:val="clear" w:color="auto" w:fill="auto"/>
            <w:noWrap/>
            <w:vAlign w:val="center"/>
          </w:tcPr>
          <w:p w14:paraId="64382A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33" w:type="dxa"/>
            <w:tcBorders>
              <w:top w:val="nil"/>
              <w:left w:val="nil"/>
              <w:bottom w:val="single" w:color="auto" w:sz="4" w:space="0"/>
              <w:right w:val="single" w:color="auto" w:sz="4" w:space="0"/>
            </w:tcBorders>
            <w:shd w:val="clear" w:color="auto" w:fill="auto"/>
            <w:noWrap/>
            <w:vAlign w:val="center"/>
          </w:tcPr>
          <w:p w14:paraId="7D77E7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4C6556">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6C7FD8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64" w:type="dxa"/>
            <w:tcBorders>
              <w:top w:val="nil"/>
              <w:left w:val="nil"/>
              <w:bottom w:val="single" w:color="auto" w:sz="4" w:space="0"/>
              <w:right w:val="single" w:color="auto" w:sz="4" w:space="0"/>
            </w:tcBorders>
            <w:shd w:val="clear" w:color="auto" w:fill="auto"/>
            <w:noWrap/>
            <w:vAlign w:val="center"/>
          </w:tcPr>
          <w:p w14:paraId="21CE9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70" w:type="dxa"/>
            <w:tcBorders>
              <w:top w:val="nil"/>
              <w:left w:val="nil"/>
              <w:bottom w:val="single" w:color="auto" w:sz="4" w:space="0"/>
              <w:right w:val="single" w:color="auto" w:sz="4" w:space="0"/>
            </w:tcBorders>
            <w:shd w:val="clear" w:color="auto" w:fill="auto"/>
            <w:noWrap/>
            <w:vAlign w:val="center"/>
          </w:tcPr>
          <w:p w14:paraId="2F62892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0.72 </w:t>
            </w:r>
          </w:p>
        </w:tc>
        <w:tc>
          <w:tcPr>
            <w:tcW w:w="1121" w:type="dxa"/>
            <w:tcBorders>
              <w:top w:val="nil"/>
              <w:left w:val="nil"/>
              <w:bottom w:val="single" w:color="auto" w:sz="4" w:space="0"/>
              <w:right w:val="single" w:color="auto" w:sz="4" w:space="0"/>
            </w:tcBorders>
            <w:shd w:val="clear" w:color="auto" w:fill="auto"/>
            <w:noWrap/>
            <w:vAlign w:val="center"/>
          </w:tcPr>
          <w:p w14:paraId="694B06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28" w:type="dxa"/>
            <w:tcBorders>
              <w:top w:val="nil"/>
              <w:left w:val="nil"/>
              <w:bottom w:val="single" w:color="auto" w:sz="4" w:space="0"/>
              <w:right w:val="single" w:color="auto" w:sz="4" w:space="0"/>
            </w:tcBorders>
            <w:shd w:val="clear" w:color="auto" w:fill="auto"/>
            <w:noWrap/>
            <w:vAlign w:val="center"/>
          </w:tcPr>
          <w:p w14:paraId="424B6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7" w:type="dxa"/>
            <w:tcBorders>
              <w:top w:val="nil"/>
              <w:left w:val="nil"/>
              <w:bottom w:val="single" w:color="auto" w:sz="4" w:space="0"/>
              <w:right w:val="single" w:color="auto" w:sz="4" w:space="0"/>
            </w:tcBorders>
            <w:shd w:val="clear" w:color="auto" w:fill="auto"/>
            <w:noWrap/>
            <w:vAlign w:val="center"/>
          </w:tcPr>
          <w:p w14:paraId="6DF6125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0F82E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35" w:type="dxa"/>
            <w:tcBorders>
              <w:top w:val="nil"/>
              <w:left w:val="nil"/>
              <w:bottom w:val="single" w:color="auto" w:sz="4" w:space="0"/>
              <w:right w:val="single" w:color="auto" w:sz="4" w:space="0"/>
            </w:tcBorders>
            <w:shd w:val="clear" w:color="auto" w:fill="auto"/>
            <w:noWrap/>
            <w:vAlign w:val="center"/>
          </w:tcPr>
          <w:p w14:paraId="3A48AC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33" w:type="dxa"/>
            <w:tcBorders>
              <w:top w:val="nil"/>
              <w:left w:val="nil"/>
              <w:bottom w:val="single" w:color="auto" w:sz="4" w:space="0"/>
              <w:right w:val="single" w:color="auto" w:sz="4" w:space="0"/>
            </w:tcBorders>
            <w:shd w:val="clear" w:color="auto" w:fill="auto"/>
            <w:noWrap/>
            <w:vAlign w:val="center"/>
          </w:tcPr>
          <w:p w14:paraId="5E70EA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37F68C">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7E6CA1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64" w:type="dxa"/>
            <w:tcBorders>
              <w:top w:val="nil"/>
              <w:left w:val="nil"/>
              <w:bottom w:val="single" w:color="auto" w:sz="4" w:space="0"/>
              <w:right w:val="single" w:color="auto" w:sz="4" w:space="0"/>
            </w:tcBorders>
            <w:shd w:val="clear" w:color="auto" w:fill="auto"/>
            <w:noWrap/>
            <w:vAlign w:val="center"/>
          </w:tcPr>
          <w:p w14:paraId="7E8AE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70" w:type="dxa"/>
            <w:tcBorders>
              <w:top w:val="nil"/>
              <w:left w:val="nil"/>
              <w:bottom w:val="single" w:color="auto" w:sz="4" w:space="0"/>
              <w:right w:val="single" w:color="auto" w:sz="4" w:space="0"/>
            </w:tcBorders>
            <w:shd w:val="clear" w:color="auto" w:fill="auto"/>
            <w:noWrap/>
            <w:vAlign w:val="center"/>
          </w:tcPr>
          <w:p w14:paraId="682E6E8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40B366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28" w:type="dxa"/>
            <w:tcBorders>
              <w:top w:val="nil"/>
              <w:left w:val="nil"/>
              <w:bottom w:val="single" w:color="auto" w:sz="4" w:space="0"/>
              <w:right w:val="single" w:color="auto" w:sz="4" w:space="0"/>
            </w:tcBorders>
            <w:shd w:val="clear" w:color="auto" w:fill="auto"/>
            <w:noWrap/>
            <w:vAlign w:val="center"/>
          </w:tcPr>
          <w:p w14:paraId="08A6F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7" w:type="dxa"/>
            <w:tcBorders>
              <w:top w:val="nil"/>
              <w:left w:val="nil"/>
              <w:bottom w:val="single" w:color="auto" w:sz="4" w:space="0"/>
              <w:right w:val="single" w:color="auto" w:sz="4" w:space="0"/>
            </w:tcBorders>
            <w:shd w:val="clear" w:color="auto" w:fill="auto"/>
            <w:noWrap/>
            <w:vAlign w:val="center"/>
          </w:tcPr>
          <w:p w14:paraId="35F97A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112.09 </w:t>
            </w:r>
          </w:p>
        </w:tc>
        <w:tc>
          <w:tcPr>
            <w:tcW w:w="1223" w:type="dxa"/>
            <w:tcBorders>
              <w:top w:val="nil"/>
              <w:left w:val="nil"/>
              <w:bottom w:val="single" w:color="auto" w:sz="4" w:space="0"/>
              <w:right w:val="single" w:color="auto" w:sz="4" w:space="0"/>
            </w:tcBorders>
            <w:shd w:val="clear" w:color="auto" w:fill="auto"/>
            <w:noWrap/>
            <w:vAlign w:val="center"/>
          </w:tcPr>
          <w:p w14:paraId="0BA00D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35" w:type="dxa"/>
            <w:tcBorders>
              <w:top w:val="nil"/>
              <w:left w:val="nil"/>
              <w:bottom w:val="single" w:color="auto" w:sz="4" w:space="0"/>
              <w:right w:val="single" w:color="auto" w:sz="4" w:space="0"/>
            </w:tcBorders>
            <w:shd w:val="clear" w:color="auto" w:fill="auto"/>
            <w:noWrap/>
            <w:vAlign w:val="center"/>
          </w:tcPr>
          <w:p w14:paraId="756CC0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33" w:type="dxa"/>
            <w:tcBorders>
              <w:top w:val="nil"/>
              <w:left w:val="nil"/>
              <w:bottom w:val="single" w:color="auto" w:sz="4" w:space="0"/>
              <w:right w:val="single" w:color="auto" w:sz="4" w:space="0"/>
            </w:tcBorders>
            <w:shd w:val="clear" w:color="auto" w:fill="auto"/>
            <w:noWrap/>
            <w:vAlign w:val="center"/>
          </w:tcPr>
          <w:p w14:paraId="5691F5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E09C9F">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356864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64" w:type="dxa"/>
            <w:tcBorders>
              <w:top w:val="nil"/>
              <w:left w:val="nil"/>
              <w:bottom w:val="single" w:color="auto" w:sz="4" w:space="0"/>
              <w:right w:val="single" w:color="auto" w:sz="4" w:space="0"/>
            </w:tcBorders>
            <w:shd w:val="clear" w:color="auto" w:fill="auto"/>
            <w:noWrap/>
            <w:vAlign w:val="center"/>
          </w:tcPr>
          <w:p w14:paraId="6C0D6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70" w:type="dxa"/>
            <w:tcBorders>
              <w:top w:val="nil"/>
              <w:left w:val="nil"/>
              <w:bottom w:val="single" w:color="auto" w:sz="4" w:space="0"/>
              <w:right w:val="single" w:color="auto" w:sz="4" w:space="0"/>
            </w:tcBorders>
            <w:shd w:val="clear" w:color="auto" w:fill="auto"/>
            <w:noWrap/>
            <w:vAlign w:val="center"/>
          </w:tcPr>
          <w:p w14:paraId="7E24BB2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523667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28" w:type="dxa"/>
            <w:tcBorders>
              <w:top w:val="nil"/>
              <w:left w:val="nil"/>
              <w:bottom w:val="single" w:color="auto" w:sz="4" w:space="0"/>
              <w:right w:val="single" w:color="auto" w:sz="4" w:space="0"/>
            </w:tcBorders>
            <w:shd w:val="clear" w:color="auto" w:fill="auto"/>
            <w:noWrap/>
            <w:vAlign w:val="center"/>
          </w:tcPr>
          <w:p w14:paraId="186DE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7" w:type="dxa"/>
            <w:tcBorders>
              <w:top w:val="nil"/>
              <w:left w:val="nil"/>
              <w:bottom w:val="single" w:color="auto" w:sz="4" w:space="0"/>
              <w:right w:val="single" w:color="auto" w:sz="4" w:space="0"/>
            </w:tcBorders>
            <w:shd w:val="clear" w:color="auto" w:fill="auto"/>
            <w:noWrap/>
            <w:vAlign w:val="center"/>
          </w:tcPr>
          <w:p w14:paraId="31334A5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41D9F9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35" w:type="dxa"/>
            <w:tcBorders>
              <w:top w:val="nil"/>
              <w:left w:val="nil"/>
              <w:bottom w:val="single" w:color="auto" w:sz="4" w:space="0"/>
              <w:right w:val="single" w:color="auto" w:sz="4" w:space="0"/>
            </w:tcBorders>
            <w:shd w:val="clear" w:color="auto" w:fill="auto"/>
            <w:noWrap/>
            <w:vAlign w:val="center"/>
          </w:tcPr>
          <w:p w14:paraId="70403E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33" w:type="dxa"/>
            <w:tcBorders>
              <w:top w:val="nil"/>
              <w:left w:val="nil"/>
              <w:bottom w:val="single" w:color="auto" w:sz="4" w:space="0"/>
              <w:right w:val="single" w:color="auto" w:sz="4" w:space="0"/>
            </w:tcBorders>
            <w:shd w:val="clear" w:color="auto" w:fill="auto"/>
            <w:noWrap/>
            <w:vAlign w:val="center"/>
          </w:tcPr>
          <w:p w14:paraId="39CEB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6E048B">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364CC8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64" w:type="dxa"/>
            <w:tcBorders>
              <w:top w:val="nil"/>
              <w:left w:val="nil"/>
              <w:bottom w:val="single" w:color="auto" w:sz="4" w:space="0"/>
              <w:right w:val="single" w:color="auto" w:sz="4" w:space="0"/>
            </w:tcBorders>
            <w:shd w:val="clear" w:color="auto" w:fill="auto"/>
            <w:noWrap/>
            <w:vAlign w:val="center"/>
          </w:tcPr>
          <w:p w14:paraId="492A6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70" w:type="dxa"/>
            <w:tcBorders>
              <w:top w:val="nil"/>
              <w:left w:val="nil"/>
              <w:bottom w:val="single" w:color="auto" w:sz="4" w:space="0"/>
              <w:right w:val="single" w:color="auto" w:sz="4" w:space="0"/>
            </w:tcBorders>
            <w:shd w:val="clear" w:color="auto" w:fill="auto"/>
            <w:noWrap/>
            <w:vAlign w:val="center"/>
          </w:tcPr>
          <w:p w14:paraId="028001B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419ED4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28" w:type="dxa"/>
            <w:tcBorders>
              <w:top w:val="nil"/>
              <w:left w:val="nil"/>
              <w:bottom w:val="single" w:color="auto" w:sz="4" w:space="0"/>
              <w:right w:val="single" w:color="auto" w:sz="4" w:space="0"/>
            </w:tcBorders>
            <w:shd w:val="clear" w:color="auto" w:fill="auto"/>
            <w:noWrap/>
            <w:vAlign w:val="center"/>
          </w:tcPr>
          <w:p w14:paraId="31AEA9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7" w:type="dxa"/>
            <w:tcBorders>
              <w:top w:val="nil"/>
              <w:left w:val="nil"/>
              <w:bottom w:val="single" w:color="auto" w:sz="4" w:space="0"/>
              <w:right w:val="single" w:color="auto" w:sz="4" w:space="0"/>
            </w:tcBorders>
            <w:shd w:val="clear" w:color="auto" w:fill="auto"/>
            <w:noWrap/>
            <w:vAlign w:val="center"/>
          </w:tcPr>
          <w:p w14:paraId="637546B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38.36 </w:t>
            </w:r>
          </w:p>
        </w:tc>
        <w:tc>
          <w:tcPr>
            <w:tcW w:w="1223" w:type="dxa"/>
            <w:tcBorders>
              <w:top w:val="nil"/>
              <w:left w:val="nil"/>
              <w:bottom w:val="single" w:color="auto" w:sz="4" w:space="0"/>
              <w:right w:val="single" w:color="auto" w:sz="4" w:space="0"/>
            </w:tcBorders>
            <w:shd w:val="clear" w:color="auto" w:fill="auto"/>
            <w:noWrap/>
            <w:vAlign w:val="center"/>
          </w:tcPr>
          <w:p w14:paraId="11F9C7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35" w:type="dxa"/>
            <w:tcBorders>
              <w:top w:val="nil"/>
              <w:left w:val="nil"/>
              <w:bottom w:val="single" w:color="auto" w:sz="4" w:space="0"/>
              <w:right w:val="single" w:color="auto" w:sz="4" w:space="0"/>
            </w:tcBorders>
            <w:shd w:val="clear" w:color="auto" w:fill="auto"/>
            <w:noWrap/>
            <w:vAlign w:val="center"/>
          </w:tcPr>
          <w:p w14:paraId="4D4DA8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33" w:type="dxa"/>
            <w:tcBorders>
              <w:top w:val="nil"/>
              <w:left w:val="nil"/>
              <w:bottom w:val="single" w:color="auto" w:sz="4" w:space="0"/>
              <w:right w:val="single" w:color="auto" w:sz="4" w:space="0"/>
            </w:tcBorders>
            <w:shd w:val="clear" w:color="auto" w:fill="auto"/>
            <w:noWrap/>
            <w:vAlign w:val="center"/>
          </w:tcPr>
          <w:p w14:paraId="060579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446851">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446316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64" w:type="dxa"/>
            <w:tcBorders>
              <w:top w:val="nil"/>
              <w:left w:val="nil"/>
              <w:bottom w:val="single" w:color="auto" w:sz="4" w:space="0"/>
              <w:right w:val="single" w:color="auto" w:sz="4" w:space="0"/>
            </w:tcBorders>
            <w:shd w:val="clear" w:color="auto" w:fill="auto"/>
            <w:noWrap/>
            <w:vAlign w:val="center"/>
          </w:tcPr>
          <w:p w14:paraId="27D288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70" w:type="dxa"/>
            <w:tcBorders>
              <w:top w:val="nil"/>
              <w:left w:val="nil"/>
              <w:bottom w:val="single" w:color="auto" w:sz="4" w:space="0"/>
              <w:right w:val="single" w:color="auto" w:sz="4" w:space="0"/>
            </w:tcBorders>
            <w:shd w:val="clear" w:color="auto" w:fill="auto"/>
            <w:noWrap/>
            <w:vAlign w:val="center"/>
          </w:tcPr>
          <w:p w14:paraId="21391A4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5FA3C0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28" w:type="dxa"/>
            <w:tcBorders>
              <w:top w:val="nil"/>
              <w:left w:val="nil"/>
              <w:bottom w:val="single" w:color="auto" w:sz="4" w:space="0"/>
              <w:right w:val="single" w:color="auto" w:sz="4" w:space="0"/>
            </w:tcBorders>
            <w:shd w:val="clear" w:color="auto" w:fill="auto"/>
            <w:noWrap/>
            <w:vAlign w:val="center"/>
          </w:tcPr>
          <w:p w14:paraId="177CDA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7" w:type="dxa"/>
            <w:tcBorders>
              <w:top w:val="nil"/>
              <w:left w:val="nil"/>
              <w:bottom w:val="single" w:color="auto" w:sz="4" w:space="0"/>
              <w:right w:val="single" w:color="auto" w:sz="4" w:space="0"/>
            </w:tcBorders>
            <w:shd w:val="clear" w:color="auto" w:fill="auto"/>
            <w:noWrap/>
            <w:vAlign w:val="center"/>
          </w:tcPr>
          <w:p w14:paraId="2C45563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6B625C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35" w:type="dxa"/>
            <w:tcBorders>
              <w:top w:val="nil"/>
              <w:left w:val="nil"/>
              <w:bottom w:val="single" w:color="auto" w:sz="4" w:space="0"/>
              <w:right w:val="single" w:color="auto" w:sz="4" w:space="0"/>
            </w:tcBorders>
            <w:shd w:val="clear" w:color="auto" w:fill="auto"/>
            <w:noWrap/>
            <w:vAlign w:val="center"/>
          </w:tcPr>
          <w:p w14:paraId="1CA5E7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A8D2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FD87F38">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422DD35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35B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FC6F7D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3B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100B605">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54F092D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CC41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3CEEA1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7A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2565465">
            <w:pPr>
              <w:widowControl/>
              <w:jc w:val="left"/>
              <w:rPr>
                <w:rFonts w:ascii="Times New Roman" w:hAnsi="Times New Roman" w:eastAsia="仿宋_GB2312" w:cs="Times New Roman"/>
                <w:color w:val="000000"/>
                <w:kern w:val="0"/>
                <w:szCs w:val="20"/>
              </w:rPr>
            </w:pPr>
          </w:p>
        </w:tc>
        <w:tc>
          <w:tcPr>
            <w:tcW w:w="933" w:type="dxa"/>
            <w:tcBorders>
              <w:top w:val="nil"/>
              <w:left w:val="nil"/>
              <w:bottom w:val="single" w:color="auto" w:sz="4" w:space="0"/>
              <w:right w:val="single" w:color="auto" w:sz="4" w:space="0"/>
            </w:tcBorders>
            <w:shd w:val="clear" w:color="auto" w:fill="auto"/>
            <w:noWrap/>
            <w:vAlign w:val="center"/>
          </w:tcPr>
          <w:p w14:paraId="5B9CF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1EDA10">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43F3AD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64" w:type="dxa"/>
            <w:tcBorders>
              <w:top w:val="nil"/>
              <w:left w:val="nil"/>
              <w:bottom w:val="single" w:color="auto" w:sz="4" w:space="0"/>
              <w:right w:val="single" w:color="auto" w:sz="4" w:space="0"/>
            </w:tcBorders>
            <w:shd w:val="clear" w:color="auto" w:fill="auto"/>
            <w:noWrap/>
            <w:vAlign w:val="center"/>
          </w:tcPr>
          <w:p w14:paraId="735AF6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70" w:type="dxa"/>
            <w:tcBorders>
              <w:top w:val="nil"/>
              <w:left w:val="nil"/>
              <w:bottom w:val="single" w:color="auto" w:sz="4" w:space="0"/>
              <w:right w:val="single" w:color="auto" w:sz="4" w:space="0"/>
            </w:tcBorders>
            <w:shd w:val="clear" w:color="auto" w:fill="auto"/>
            <w:noWrap/>
            <w:vAlign w:val="center"/>
          </w:tcPr>
          <w:p w14:paraId="67A8005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121" w:type="dxa"/>
            <w:tcBorders>
              <w:top w:val="nil"/>
              <w:left w:val="nil"/>
              <w:bottom w:val="single" w:color="auto" w:sz="4" w:space="0"/>
              <w:right w:val="single" w:color="auto" w:sz="4" w:space="0"/>
            </w:tcBorders>
            <w:shd w:val="clear" w:color="auto" w:fill="auto"/>
            <w:noWrap/>
            <w:vAlign w:val="center"/>
          </w:tcPr>
          <w:p w14:paraId="6AAF91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28" w:type="dxa"/>
            <w:tcBorders>
              <w:top w:val="nil"/>
              <w:left w:val="nil"/>
              <w:bottom w:val="single" w:color="auto" w:sz="4" w:space="0"/>
              <w:right w:val="single" w:color="auto" w:sz="4" w:space="0"/>
            </w:tcBorders>
            <w:shd w:val="clear" w:color="auto" w:fill="auto"/>
            <w:noWrap/>
            <w:vAlign w:val="center"/>
          </w:tcPr>
          <w:p w14:paraId="10BA92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7" w:type="dxa"/>
            <w:tcBorders>
              <w:top w:val="nil"/>
              <w:left w:val="nil"/>
              <w:bottom w:val="single" w:color="auto" w:sz="4" w:space="0"/>
              <w:right w:val="single" w:color="auto" w:sz="4" w:space="0"/>
            </w:tcBorders>
            <w:shd w:val="clear" w:color="auto" w:fill="auto"/>
            <w:noWrap/>
            <w:vAlign w:val="center"/>
          </w:tcPr>
          <w:p w14:paraId="77AD80D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3.92 </w:t>
            </w:r>
          </w:p>
        </w:tc>
        <w:tc>
          <w:tcPr>
            <w:tcW w:w="1223" w:type="dxa"/>
            <w:tcBorders>
              <w:top w:val="nil"/>
              <w:left w:val="nil"/>
              <w:bottom w:val="single" w:color="auto" w:sz="4" w:space="0"/>
              <w:right w:val="single" w:color="auto" w:sz="4" w:space="0"/>
            </w:tcBorders>
            <w:shd w:val="clear" w:color="auto" w:fill="auto"/>
            <w:noWrap/>
            <w:vAlign w:val="center"/>
          </w:tcPr>
          <w:p w14:paraId="56CD69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35" w:type="dxa"/>
            <w:tcBorders>
              <w:top w:val="nil"/>
              <w:left w:val="nil"/>
              <w:bottom w:val="single" w:color="auto" w:sz="4" w:space="0"/>
              <w:right w:val="single" w:color="auto" w:sz="4" w:space="0"/>
            </w:tcBorders>
            <w:shd w:val="clear" w:color="auto" w:fill="auto"/>
            <w:noWrap/>
            <w:vAlign w:val="center"/>
          </w:tcPr>
          <w:p w14:paraId="300573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33" w:type="dxa"/>
            <w:tcBorders>
              <w:top w:val="nil"/>
              <w:left w:val="nil"/>
              <w:bottom w:val="single" w:color="auto" w:sz="4" w:space="0"/>
              <w:right w:val="single" w:color="auto" w:sz="4" w:space="0"/>
            </w:tcBorders>
            <w:shd w:val="clear" w:color="auto" w:fill="auto"/>
            <w:noWrap/>
            <w:vAlign w:val="center"/>
          </w:tcPr>
          <w:p w14:paraId="649AC0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BC0FB4">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121238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64" w:type="dxa"/>
            <w:tcBorders>
              <w:top w:val="nil"/>
              <w:left w:val="nil"/>
              <w:bottom w:val="single" w:color="auto" w:sz="4" w:space="0"/>
              <w:right w:val="single" w:color="auto" w:sz="4" w:space="0"/>
            </w:tcBorders>
            <w:shd w:val="clear" w:color="auto" w:fill="auto"/>
            <w:noWrap/>
            <w:vAlign w:val="center"/>
          </w:tcPr>
          <w:p w14:paraId="3109A4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70" w:type="dxa"/>
            <w:tcBorders>
              <w:top w:val="nil"/>
              <w:left w:val="nil"/>
              <w:bottom w:val="single" w:color="auto" w:sz="4" w:space="0"/>
              <w:right w:val="single" w:color="auto" w:sz="4" w:space="0"/>
            </w:tcBorders>
            <w:shd w:val="clear" w:color="auto" w:fill="auto"/>
            <w:noWrap/>
            <w:vAlign w:val="center"/>
          </w:tcPr>
          <w:p w14:paraId="5291EAF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11.70 </w:t>
            </w:r>
          </w:p>
        </w:tc>
        <w:tc>
          <w:tcPr>
            <w:tcW w:w="1121" w:type="dxa"/>
            <w:tcBorders>
              <w:top w:val="nil"/>
              <w:left w:val="nil"/>
              <w:bottom w:val="single" w:color="auto" w:sz="4" w:space="0"/>
              <w:right w:val="single" w:color="auto" w:sz="4" w:space="0"/>
            </w:tcBorders>
            <w:shd w:val="clear" w:color="auto" w:fill="auto"/>
            <w:noWrap/>
            <w:vAlign w:val="center"/>
          </w:tcPr>
          <w:p w14:paraId="7CB601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28" w:type="dxa"/>
            <w:tcBorders>
              <w:top w:val="nil"/>
              <w:left w:val="nil"/>
              <w:bottom w:val="single" w:color="auto" w:sz="4" w:space="0"/>
              <w:right w:val="single" w:color="auto" w:sz="4" w:space="0"/>
            </w:tcBorders>
            <w:shd w:val="clear" w:color="auto" w:fill="auto"/>
            <w:noWrap/>
            <w:vAlign w:val="center"/>
          </w:tcPr>
          <w:p w14:paraId="7399F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7" w:type="dxa"/>
            <w:tcBorders>
              <w:top w:val="nil"/>
              <w:left w:val="nil"/>
              <w:bottom w:val="single" w:color="auto" w:sz="4" w:space="0"/>
              <w:right w:val="single" w:color="auto" w:sz="4" w:space="0"/>
            </w:tcBorders>
            <w:shd w:val="clear" w:color="auto" w:fill="auto"/>
            <w:noWrap/>
            <w:vAlign w:val="center"/>
          </w:tcPr>
          <w:p w14:paraId="5BF2EE0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9.73 </w:t>
            </w:r>
          </w:p>
        </w:tc>
        <w:tc>
          <w:tcPr>
            <w:tcW w:w="1223" w:type="dxa"/>
            <w:tcBorders>
              <w:top w:val="nil"/>
              <w:left w:val="nil"/>
              <w:bottom w:val="single" w:color="auto" w:sz="4" w:space="0"/>
              <w:right w:val="single" w:color="auto" w:sz="4" w:space="0"/>
            </w:tcBorders>
            <w:shd w:val="clear" w:color="auto" w:fill="auto"/>
            <w:noWrap/>
            <w:vAlign w:val="center"/>
          </w:tcPr>
          <w:p w14:paraId="5B01A0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35" w:type="dxa"/>
            <w:tcBorders>
              <w:top w:val="nil"/>
              <w:left w:val="nil"/>
              <w:bottom w:val="single" w:color="auto" w:sz="4" w:space="0"/>
              <w:right w:val="single" w:color="auto" w:sz="4" w:space="0"/>
            </w:tcBorders>
            <w:shd w:val="clear" w:color="auto" w:fill="auto"/>
            <w:noWrap/>
            <w:vAlign w:val="center"/>
          </w:tcPr>
          <w:p w14:paraId="205A1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33" w:type="dxa"/>
            <w:tcBorders>
              <w:top w:val="nil"/>
              <w:left w:val="nil"/>
              <w:bottom w:val="single" w:color="auto" w:sz="4" w:space="0"/>
              <w:right w:val="single" w:color="auto" w:sz="4" w:space="0"/>
            </w:tcBorders>
            <w:shd w:val="clear" w:color="auto" w:fill="auto"/>
            <w:noWrap/>
            <w:vAlign w:val="center"/>
          </w:tcPr>
          <w:p w14:paraId="395A3D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E9D811">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4E12C8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64" w:type="dxa"/>
            <w:tcBorders>
              <w:top w:val="nil"/>
              <w:left w:val="nil"/>
              <w:bottom w:val="single" w:color="auto" w:sz="4" w:space="0"/>
              <w:right w:val="single" w:color="auto" w:sz="4" w:space="0"/>
            </w:tcBorders>
            <w:shd w:val="clear" w:color="auto" w:fill="auto"/>
            <w:noWrap/>
            <w:vAlign w:val="center"/>
          </w:tcPr>
          <w:p w14:paraId="2844B2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70" w:type="dxa"/>
            <w:tcBorders>
              <w:top w:val="nil"/>
              <w:left w:val="nil"/>
              <w:bottom w:val="single" w:color="auto" w:sz="4" w:space="0"/>
              <w:right w:val="single" w:color="auto" w:sz="4" w:space="0"/>
            </w:tcBorders>
            <w:shd w:val="clear" w:color="auto" w:fill="auto"/>
            <w:noWrap/>
            <w:vAlign w:val="center"/>
          </w:tcPr>
          <w:p w14:paraId="08C8D47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2.04 </w:t>
            </w:r>
          </w:p>
        </w:tc>
        <w:tc>
          <w:tcPr>
            <w:tcW w:w="1121" w:type="dxa"/>
            <w:tcBorders>
              <w:top w:val="nil"/>
              <w:left w:val="nil"/>
              <w:bottom w:val="single" w:color="auto" w:sz="4" w:space="0"/>
              <w:right w:val="single" w:color="auto" w:sz="4" w:space="0"/>
            </w:tcBorders>
            <w:shd w:val="clear" w:color="auto" w:fill="auto"/>
            <w:noWrap/>
            <w:vAlign w:val="center"/>
          </w:tcPr>
          <w:p w14:paraId="2BB51D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28" w:type="dxa"/>
            <w:tcBorders>
              <w:top w:val="nil"/>
              <w:left w:val="nil"/>
              <w:bottom w:val="single" w:color="auto" w:sz="4" w:space="0"/>
              <w:right w:val="single" w:color="auto" w:sz="4" w:space="0"/>
            </w:tcBorders>
            <w:shd w:val="clear" w:color="auto" w:fill="auto"/>
            <w:noWrap/>
            <w:vAlign w:val="center"/>
          </w:tcPr>
          <w:p w14:paraId="4DB00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7" w:type="dxa"/>
            <w:tcBorders>
              <w:top w:val="nil"/>
              <w:left w:val="nil"/>
              <w:bottom w:val="single" w:color="auto" w:sz="4" w:space="0"/>
              <w:right w:val="single" w:color="auto" w:sz="4" w:space="0"/>
            </w:tcBorders>
            <w:shd w:val="clear" w:color="auto" w:fill="auto"/>
            <w:noWrap/>
            <w:vAlign w:val="center"/>
          </w:tcPr>
          <w:p w14:paraId="4694EE0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1223" w:type="dxa"/>
            <w:tcBorders>
              <w:top w:val="nil"/>
              <w:left w:val="nil"/>
              <w:bottom w:val="single" w:color="auto" w:sz="4" w:space="0"/>
              <w:right w:val="single" w:color="auto" w:sz="4" w:space="0"/>
            </w:tcBorders>
            <w:shd w:val="clear" w:color="auto" w:fill="auto"/>
            <w:noWrap/>
            <w:vAlign w:val="center"/>
          </w:tcPr>
          <w:p w14:paraId="5D3E783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35" w:type="dxa"/>
            <w:tcBorders>
              <w:top w:val="nil"/>
              <w:left w:val="nil"/>
              <w:bottom w:val="single" w:color="auto" w:sz="4" w:space="0"/>
              <w:right w:val="single" w:color="auto" w:sz="4" w:space="0"/>
            </w:tcBorders>
            <w:shd w:val="clear" w:color="auto" w:fill="auto"/>
            <w:noWrap/>
            <w:vAlign w:val="center"/>
          </w:tcPr>
          <w:p w14:paraId="2D41F15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33" w:type="dxa"/>
            <w:tcBorders>
              <w:top w:val="nil"/>
              <w:left w:val="nil"/>
              <w:bottom w:val="single" w:color="auto" w:sz="4" w:space="0"/>
              <w:right w:val="single" w:color="auto" w:sz="4" w:space="0"/>
            </w:tcBorders>
            <w:shd w:val="clear" w:color="auto" w:fill="auto"/>
            <w:noWrap/>
            <w:vAlign w:val="center"/>
          </w:tcPr>
          <w:p w14:paraId="0D468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C37FB6">
        <w:tblPrEx>
          <w:tblCellMar>
            <w:top w:w="0" w:type="dxa"/>
            <w:left w:w="108" w:type="dxa"/>
            <w:bottom w:w="0" w:type="dxa"/>
            <w:right w:w="108" w:type="dxa"/>
          </w:tblCellMar>
        </w:tblPrEx>
        <w:trPr>
          <w:trHeight w:val="239" w:hRule="exact"/>
          <w:jc w:val="center"/>
        </w:trPr>
        <w:tc>
          <w:tcPr>
            <w:tcW w:w="1085" w:type="dxa"/>
            <w:tcBorders>
              <w:top w:val="nil"/>
              <w:left w:val="single" w:color="auto" w:sz="4" w:space="0"/>
              <w:bottom w:val="single" w:color="auto" w:sz="4" w:space="0"/>
              <w:right w:val="single" w:color="auto" w:sz="4" w:space="0"/>
            </w:tcBorders>
            <w:shd w:val="clear" w:color="auto" w:fill="auto"/>
            <w:noWrap/>
            <w:vAlign w:val="center"/>
          </w:tcPr>
          <w:p w14:paraId="569DDD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64" w:type="dxa"/>
            <w:tcBorders>
              <w:top w:val="nil"/>
              <w:left w:val="nil"/>
              <w:bottom w:val="single" w:color="auto" w:sz="4" w:space="0"/>
              <w:right w:val="single" w:color="auto" w:sz="4" w:space="0"/>
            </w:tcBorders>
            <w:shd w:val="clear" w:color="auto" w:fill="auto"/>
            <w:noWrap/>
            <w:vAlign w:val="center"/>
          </w:tcPr>
          <w:p w14:paraId="62058B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70" w:type="dxa"/>
            <w:tcBorders>
              <w:top w:val="nil"/>
              <w:left w:val="nil"/>
              <w:bottom w:val="single" w:color="auto" w:sz="4" w:space="0"/>
              <w:right w:val="single" w:color="auto" w:sz="4" w:space="0"/>
            </w:tcBorders>
            <w:shd w:val="clear" w:color="auto" w:fill="auto"/>
            <w:noWrap/>
            <w:vAlign w:val="center"/>
          </w:tcPr>
          <w:p w14:paraId="52F43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21" w:type="dxa"/>
            <w:tcBorders>
              <w:top w:val="nil"/>
              <w:left w:val="nil"/>
              <w:bottom w:val="single" w:color="auto" w:sz="4" w:space="0"/>
              <w:right w:val="single" w:color="auto" w:sz="4" w:space="0"/>
            </w:tcBorders>
            <w:shd w:val="clear" w:color="auto" w:fill="auto"/>
            <w:noWrap/>
            <w:vAlign w:val="center"/>
          </w:tcPr>
          <w:p w14:paraId="74E032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28" w:type="dxa"/>
            <w:tcBorders>
              <w:top w:val="nil"/>
              <w:left w:val="nil"/>
              <w:bottom w:val="single" w:color="auto" w:sz="4" w:space="0"/>
              <w:right w:val="single" w:color="auto" w:sz="4" w:space="0"/>
            </w:tcBorders>
            <w:shd w:val="clear" w:color="auto" w:fill="auto"/>
            <w:noWrap/>
            <w:vAlign w:val="center"/>
          </w:tcPr>
          <w:p w14:paraId="7A5F39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7" w:type="dxa"/>
            <w:tcBorders>
              <w:top w:val="nil"/>
              <w:left w:val="nil"/>
              <w:bottom w:val="single" w:color="auto" w:sz="4" w:space="0"/>
              <w:right w:val="single" w:color="auto" w:sz="4" w:space="0"/>
            </w:tcBorders>
            <w:shd w:val="clear" w:color="auto" w:fill="auto"/>
            <w:noWrap/>
            <w:vAlign w:val="center"/>
          </w:tcPr>
          <w:p w14:paraId="5624569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101.88 </w:t>
            </w:r>
          </w:p>
        </w:tc>
        <w:tc>
          <w:tcPr>
            <w:tcW w:w="1223" w:type="dxa"/>
            <w:tcBorders>
              <w:top w:val="nil"/>
              <w:left w:val="nil"/>
              <w:bottom w:val="single" w:color="auto" w:sz="4" w:space="0"/>
              <w:right w:val="single" w:color="auto" w:sz="4" w:space="0"/>
            </w:tcBorders>
            <w:shd w:val="clear" w:color="auto" w:fill="auto"/>
            <w:noWrap/>
            <w:vAlign w:val="center"/>
          </w:tcPr>
          <w:p w14:paraId="74019BA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35" w:type="dxa"/>
            <w:tcBorders>
              <w:top w:val="nil"/>
              <w:left w:val="nil"/>
              <w:bottom w:val="single" w:color="auto" w:sz="4" w:space="0"/>
              <w:right w:val="single" w:color="auto" w:sz="4" w:space="0"/>
            </w:tcBorders>
            <w:shd w:val="clear" w:color="auto" w:fill="auto"/>
            <w:noWrap/>
            <w:vAlign w:val="center"/>
          </w:tcPr>
          <w:p w14:paraId="2FBFA36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33" w:type="dxa"/>
            <w:tcBorders>
              <w:top w:val="nil"/>
              <w:left w:val="nil"/>
              <w:bottom w:val="single" w:color="auto" w:sz="4" w:space="0"/>
              <w:right w:val="single" w:color="auto" w:sz="4" w:space="0"/>
            </w:tcBorders>
            <w:shd w:val="clear" w:color="auto" w:fill="auto"/>
            <w:noWrap/>
            <w:vAlign w:val="center"/>
          </w:tcPr>
          <w:p w14:paraId="561CD9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724F0A">
        <w:tblPrEx>
          <w:tblCellMar>
            <w:top w:w="0" w:type="dxa"/>
            <w:left w:w="108" w:type="dxa"/>
            <w:bottom w:w="0" w:type="dxa"/>
            <w:right w:w="108" w:type="dxa"/>
          </w:tblCellMar>
        </w:tblPrEx>
        <w:trPr>
          <w:trHeight w:val="260" w:hRule="exact"/>
          <w:jc w:val="center"/>
        </w:trPr>
        <w:tc>
          <w:tcPr>
            <w:tcW w:w="394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84BB82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70" w:type="dxa"/>
            <w:tcBorders>
              <w:top w:val="nil"/>
              <w:left w:val="nil"/>
              <w:bottom w:val="single" w:color="auto" w:sz="4" w:space="0"/>
              <w:right w:val="single" w:color="auto" w:sz="4" w:space="0"/>
            </w:tcBorders>
            <w:shd w:val="clear" w:color="auto" w:fill="auto"/>
            <w:noWrap/>
            <w:vAlign w:val="center"/>
          </w:tcPr>
          <w:p w14:paraId="78FFE15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682.39</w:t>
            </w:r>
          </w:p>
        </w:tc>
        <w:tc>
          <w:tcPr>
            <w:tcW w:w="8844" w:type="dxa"/>
            <w:gridSpan w:val="5"/>
            <w:tcBorders>
              <w:top w:val="single" w:color="auto" w:sz="4" w:space="0"/>
              <w:left w:val="nil"/>
              <w:bottom w:val="single" w:color="auto" w:sz="4" w:space="0"/>
              <w:right w:val="single" w:color="auto" w:sz="4" w:space="0"/>
            </w:tcBorders>
            <w:shd w:val="clear" w:color="auto" w:fill="auto"/>
            <w:noWrap/>
            <w:vAlign w:val="center"/>
          </w:tcPr>
          <w:p w14:paraId="04B04F8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33" w:type="dxa"/>
            <w:tcBorders>
              <w:top w:val="nil"/>
              <w:left w:val="nil"/>
              <w:bottom w:val="single" w:color="auto" w:sz="4" w:space="0"/>
              <w:right w:val="single" w:color="auto" w:sz="4" w:space="0"/>
            </w:tcBorders>
            <w:shd w:val="clear" w:color="auto" w:fill="auto"/>
            <w:noWrap/>
            <w:vAlign w:val="center"/>
          </w:tcPr>
          <w:p w14:paraId="0A8F64C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437.61 </w:t>
            </w:r>
          </w:p>
        </w:tc>
      </w:tr>
    </w:tbl>
    <w:p w14:paraId="47FA7BC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495757B">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9485A0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DB6334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626F7B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3999" w:type="dxa"/>
        <w:jc w:val="center"/>
        <w:tblLayout w:type="fixed"/>
        <w:tblCellMar>
          <w:top w:w="0" w:type="dxa"/>
          <w:left w:w="108" w:type="dxa"/>
          <w:bottom w:w="0" w:type="dxa"/>
          <w:right w:w="108" w:type="dxa"/>
        </w:tblCellMar>
      </w:tblPr>
      <w:tblGrid>
        <w:gridCol w:w="1497"/>
        <w:gridCol w:w="2398"/>
        <w:gridCol w:w="797"/>
        <w:gridCol w:w="1943"/>
        <w:gridCol w:w="1919"/>
        <w:gridCol w:w="1935"/>
        <w:gridCol w:w="1918"/>
        <w:gridCol w:w="1592"/>
      </w:tblGrid>
      <w:tr w14:paraId="26B3B50E">
        <w:tblPrEx>
          <w:tblCellMar>
            <w:top w:w="0" w:type="dxa"/>
            <w:left w:w="108" w:type="dxa"/>
            <w:bottom w:w="0" w:type="dxa"/>
            <w:right w:w="108" w:type="dxa"/>
          </w:tblCellMar>
        </w:tblPrEx>
        <w:trPr>
          <w:trHeight w:val="459" w:hRule="atLeast"/>
          <w:jc w:val="center"/>
        </w:trPr>
        <w:tc>
          <w:tcPr>
            <w:tcW w:w="38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186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1B60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932C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90E6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5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6D3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83EFA6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37F5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CC7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FB2E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FE22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DDD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119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DD5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6BC03">
            <w:pPr>
              <w:widowControl/>
              <w:jc w:val="center"/>
              <w:rPr>
                <w:rFonts w:ascii="Times New Roman" w:hAnsi="Times New Roman" w:eastAsia="仿宋_GB2312" w:cs="Times New Roman"/>
                <w:color w:val="000000"/>
                <w:sz w:val="24"/>
                <w:szCs w:val="24"/>
              </w:rPr>
            </w:pPr>
          </w:p>
        </w:tc>
      </w:tr>
      <w:tr w14:paraId="339E5632">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C4D01">
            <w:pPr>
              <w:jc w:val="center"/>
              <w:rPr>
                <w:rFonts w:ascii="Times New Roman" w:hAnsi="Times New Roman" w:eastAsia="仿宋_GB2312" w:cs="Times New Roman"/>
                <w:color w:val="000000"/>
                <w:sz w:val="24"/>
                <w:szCs w:val="24"/>
              </w:rPr>
            </w:pPr>
          </w:p>
        </w:tc>
        <w:tc>
          <w:tcPr>
            <w:tcW w:w="2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2C4AB">
            <w:pPr>
              <w:jc w:val="center"/>
              <w:rPr>
                <w:rFonts w:ascii="Times New Roman" w:hAnsi="Times New Roman" w:eastAsia="仿宋_GB2312" w:cs="Times New Roman"/>
                <w:color w:val="000000"/>
                <w:sz w:val="24"/>
                <w:szCs w:val="24"/>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9DB0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6370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3DF2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02B5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7FBE5">
            <w:pPr>
              <w:jc w:val="center"/>
              <w:rPr>
                <w:rFonts w:ascii="Times New Roman" w:hAnsi="Times New Roman" w:eastAsia="仿宋_GB2312" w:cs="Times New Roman"/>
                <w:color w:val="000000"/>
                <w:sz w:val="24"/>
                <w:szCs w:val="24"/>
              </w:rPr>
            </w:pP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06629">
            <w:pPr>
              <w:jc w:val="center"/>
              <w:rPr>
                <w:rFonts w:ascii="Times New Roman" w:hAnsi="Times New Roman" w:eastAsia="仿宋_GB2312" w:cs="Times New Roman"/>
                <w:color w:val="000000"/>
                <w:sz w:val="24"/>
                <w:szCs w:val="24"/>
              </w:rPr>
            </w:pPr>
          </w:p>
        </w:tc>
      </w:tr>
      <w:tr w14:paraId="44E7C56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A1AB6">
            <w:pPr>
              <w:jc w:val="center"/>
              <w:rPr>
                <w:rFonts w:ascii="Times New Roman" w:hAnsi="Times New Roman" w:eastAsia="仿宋_GB2312" w:cs="Times New Roman"/>
                <w:color w:val="000000"/>
                <w:sz w:val="24"/>
                <w:szCs w:val="24"/>
              </w:rPr>
            </w:pPr>
          </w:p>
        </w:tc>
        <w:tc>
          <w:tcPr>
            <w:tcW w:w="2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0536D">
            <w:pPr>
              <w:jc w:val="center"/>
              <w:rPr>
                <w:rFonts w:ascii="Times New Roman" w:hAnsi="Times New Roman" w:eastAsia="仿宋_GB2312" w:cs="Times New Roman"/>
                <w:color w:val="000000"/>
                <w:sz w:val="24"/>
                <w:szCs w:val="24"/>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99FB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C263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8AFE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C99E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D4C1F">
            <w:pPr>
              <w:jc w:val="center"/>
              <w:rPr>
                <w:rFonts w:ascii="Times New Roman" w:hAnsi="Times New Roman" w:eastAsia="仿宋_GB2312" w:cs="Times New Roman"/>
                <w:color w:val="000000"/>
                <w:sz w:val="24"/>
                <w:szCs w:val="24"/>
              </w:rPr>
            </w:pPr>
          </w:p>
        </w:tc>
        <w:tc>
          <w:tcPr>
            <w:tcW w:w="15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D5A98">
            <w:pPr>
              <w:jc w:val="center"/>
              <w:rPr>
                <w:rFonts w:ascii="Times New Roman" w:hAnsi="Times New Roman" w:eastAsia="仿宋_GB2312" w:cs="Times New Roman"/>
                <w:color w:val="000000"/>
                <w:sz w:val="24"/>
                <w:szCs w:val="24"/>
              </w:rPr>
            </w:pPr>
          </w:p>
        </w:tc>
      </w:tr>
      <w:tr w14:paraId="63841C02">
        <w:tblPrEx>
          <w:tblCellMar>
            <w:top w:w="0" w:type="dxa"/>
            <w:left w:w="108" w:type="dxa"/>
            <w:bottom w:w="0" w:type="dxa"/>
            <w:right w:w="108" w:type="dxa"/>
          </w:tblCellMar>
        </w:tblPrEx>
        <w:trPr>
          <w:trHeight w:val="509" w:hRule="atLeast"/>
          <w:jc w:val="center"/>
        </w:trPr>
        <w:tc>
          <w:tcPr>
            <w:tcW w:w="38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BC4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69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D7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0A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AD4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4E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4B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AD45798">
        <w:tblPrEx>
          <w:tblCellMar>
            <w:top w:w="0" w:type="dxa"/>
            <w:left w:w="108" w:type="dxa"/>
            <w:bottom w:w="0" w:type="dxa"/>
            <w:right w:w="108" w:type="dxa"/>
          </w:tblCellMar>
        </w:tblPrEx>
        <w:trPr>
          <w:trHeight w:val="509" w:hRule="atLeast"/>
          <w:jc w:val="center"/>
        </w:trPr>
        <w:tc>
          <w:tcPr>
            <w:tcW w:w="38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9CD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8F875">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24C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841.5</w:t>
            </w:r>
            <w:r>
              <w:rPr>
                <w:rFonts w:hint="eastAsia" w:ascii="Times New Roman" w:hAnsi="Times New Roman" w:eastAsia="仿宋_GB2312" w:cs="Times New Roman"/>
                <w:color w:val="000000"/>
                <w:sz w:val="24"/>
                <w:szCs w:val="24"/>
                <w:lang w:val="en-US" w:eastAsia="zh-CN"/>
              </w:rPr>
              <w:t>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3EC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841.5</w:t>
            </w:r>
            <w:r>
              <w:rPr>
                <w:rFonts w:hint="eastAsia" w:ascii="Times New Roman" w:hAnsi="Times New Roman" w:eastAsia="仿宋_GB2312" w:cs="Times New Roman"/>
                <w:color w:val="000000"/>
                <w:sz w:val="24"/>
                <w:szCs w:val="24"/>
                <w:lang w:val="en-US" w:eastAsia="zh-CN"/>
              </w:rPr>
              <w:t>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6412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3DAB">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841.5</w:t>
            </w:r>
            <w:r>
              <w:rPr>
                <w:rFonts w:hint="eastAsia" w:ascii="Times New Roman" w:hAnsi="Times New Roman" w:eastAsia="仿宋_GB2312" w:cs="Times New Roman"/>
                <w:color w:val="000000"/>
                <w:sz w:val="24"/>
                <w:szCs w:val="24"/>
                <w:lang w:val="en-US" w:eastAsia="zh-CN"/>
              </w:rPr>
              <w:t>6</w:t>
            </w:r>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6D0E">
            <w:pPr>
              <w:jc w:val="center"/>
              <w:rPr>
                <w:rFonts w:ascii="Times New Roman" w:hAnsi="Times New Roman" w:eastAsia="仿宋_GB2312" w:cs="Times New Roman"/>
                <w:color w:val="000000"/>
                <w:sz w:val="24"/>
                <w:szCs w:val="24"/>
              </w:rPr>
            </w:pPr>
          </w:p>
        </w:tc>
      </w:tr>
      <w:tr w14:paraId="5F16BD5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AB56">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F5C5">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城乡社区支出</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B6E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899A">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841.5</w:t>
            </w:r>
            <w:r>
              <w:rPr>
                <w:rFonts w:hint="eastAsia" w:ascii="Times New Roman" w:hAnsi="Times New Roman" w:eastAsia="仿宋_GB2312" w:cs="Times New Roman"/>
                <w:color w:val="000000"/>
                <w:sz w:val="24"/>
                <w:szCs w:val="24"/>
                <w:lang w:val="en-US" w:eastAsia="zh-CN"/>
              </w:rPr>
              <w:t>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1FA9">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841.5</w:t>
            </w:r>
            <w:r>
              <w:rPr>
                <w:rFonts w:hint="eastAsia" w:ascii="Times New Roman" w:hAnsi="Times New Roman" w:eastAsia="仿宋_GB2312" w:cs="Times New Roman"/>
                <w:color w:val="000000"/>
                <w:sz w:val="24"/>
                <w:szCs w:val="24"/>
                <w:lang w:val="en-US" w:eastAsia="zh-CN"/>
              </w:rPr>
              <w:t>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8CA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1B6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841.5</w:t>
            </w:r>
            <w:r>
              <w:rPr>
                <w:rFonts w:hint="eastAsia" w:ascii="Times New Roman" w:hAnsi="Times New Roman" w:eastAsia="仿宋_GB2312" w:cs="Times New Roman"/>
                <w:color w:val="000000"/>
                <w:sz w:val="24"/>
                <w:szCs w:val="24"/>
                <w:lang w:val="en-US" w:eastAsia="zh-CN"/>
              </w:rPr>
              <w:t>6</w:t>
            </w:r>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C8DF">
            <w:pPr>
              <w:rPr>
                <w:rFonts w:ascii="Times New Roman" w:hAnsi="Times New Roman" w:eastAsia="仿宋_GB2312" w:cs="Times New Roman"/>
                <w:color w:val="000000"/>
                <w:sz w:val="24"/>
                <w:szCs w:val="24"/>
              </w:rPr>
            </w:pPr>
          </w:p>
        </w:tc>
      </w:tr>
      <w:tr w14:paraId="2AEA6ED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430D">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21208</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70BA">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国有土地使用权出让收入安排的支出</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3956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8CC3">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590.4</w:t>
            </w:r>
            <w:r>
              <w:rPr>
                <w:rFonts w:hint="eastAsia" w:ascii="Times New Roman" w:hAnsi="Times New Roman" w:eastAsia="仿宋_GB2312" w:cs="Times New Roman"/>
                <w:color w:val="000000"/>
                <w:sz w:val="24"/>
                <w:szCs w:val="24"/>
                <w:lang w:val="en-US" w:eastAsia="zh-CN"/>
              </w:rPr>
              <w:t>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2DC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590.4</w:t>
            </w:r>
            <w:r>
              <w:rPr>
                <w:rFonts w:hint="eastAsia" w:ascii="Times New Roman" w:hAnsi="Times New Roman" w:eastAsia="仿宋_GB2312" w:cs="Times New Roman"/>
                <w:color w:val="000000"/>
                <w:sz w:val="24"/>
                <w:szCs w:val="24"/>
                <w:lang w:val="en-US" w:eastAsia="zh-CN"/>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651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264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590.4</w:t>
            </w:r>
            <w:r>
              <w:rPr>
                <w:rFonts w:hint="eastAsia" w:ascii="Times New Roman" w:hAnsi="Times New Roman" w:eastAsia="仿宋_GB2312" w:cs="Times New Roman"/>
                <w:color w:val="000000"/>
                <w:sz w:val="24"/>
                <w:szCs w:val="24"/>
                <w:lang w:val="en-US" w:eastAsia="zh-CN"/>
              </w:rPr>
              <w:t>4</w:t>
            </w:r>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FE85">
            <w:pPr>
              <w:rPr>
                <w:rFonts w:ascii="Times New Roman" w:hAnsi="Times New Roman" w:eastAsia="仿宋_GB2312" w:cs="Times New Roman"/>
                <w:color w:val="000000"/>
                <w:sz w:val="24"/>
                <w:szCs w:val="24"/>
              </w:rPr>
            </w:pPr>
          </w:p>
        </w:tc>
      </w:tr>
      <w:tr w14:paraId="6E563C1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DDAD">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2120801</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45C9">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征地和拆迁补偿支出</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1F7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EE13">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590.4</w:t>
            </w:r>
            <w:r>
              <w:rPr>
                <w:rFonts w:hint="eastAsia" w:ascii="Times New Roman" w:hAnsi="Times New Roman" w:eastAsia="仿宋_GB2312" w:cs="Times New Roman"/>
                <w:color w:val="000000"/>
                <w:sz w:val="24"/>
                <w:szCs w:val="24"/>
                <w:lang w:val="en-US" w:eastAsia="zh-CN"/>
              </w:rPr>
              <w:t>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6A1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590.4</w:t>
            </w:r>
            <w:r>
              <w:rPr>
                <w:rFonts w:hint="eastAsia" w:ascii="Times New Roman" w:hAnsi="Times New Roman" w:eastAsia="仿宋_GB2312" w:cs="Times New Roman"/>
                <w:color w:val="000000"/>
                <w:sz w:val="24"/>
                <w:szCs w:val="24"/>
                <w:lang w:val="en-US" w:eastAsia="zh-CN"/>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FC9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DB0B">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590.4</w:t>
            </w:r>
            <w:r>
              <w:rPr>
                <w:rFonts w:hint="eastAsia" w:ascii="Times New Roman" w:hAnsi="Times New Roman" w:eastAsia="仿宋_GB2312" w:cs="Times New Roman"/>
                <w:color w:val="000000"/>
                <w:sz w:val="24"/>
                <w:szCs w:val="24"/>
                <w:lang w:val="en-US" w:eastAsia="zh-CN"/>
              </w:rPr>
              <w:t>4</w:t>
            </w:r>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17EA">
            <w:pPr>
              <w:rPr>
                <w:rFonts w:ascii="Times New Roman" w:hAnsi="Times New Roman" w:eastAsia="仿宋_GB2312" w:cs="Times New Roman"/>
                <w:color w:val="000000"/>
                <w:sz w:val="24"/>
                <w:szCs w:val="24"/>
              </w:rPr>
            </w:pPr>
          </w:p>
        </w:tc>
      </w:tr>
      <w:tr w14:paraId="1AFB733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F706">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21213</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A79A">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城市基础设施配套费安排的支出</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B54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C5F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251.1</w:t>
            </w:r>
            <w:r>
              <w:rPr>
                <w:rFonts w:hint="eastAsia" w:ascii="Times New Roman" w:hAnsi="Times New Roman" w:eastAsia="仿宋_GB2312" w:cs="Times New Roman"/>
                <w:color w:val="000000"/>
                <w:sz w:val="24"/>
                <w:szCs w:val="24"/>
                <w:lang w:val="en-US" w:eastAsia="zh-CN"/>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2E4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251.1</w:t>
            </w:r>
            <w:r>
              <w:rPr>
                <w:rFonts w:hint="eastAsia" w:ascii="Times New Roman" w:hAnsi="Times New Roman" w:eastAsia="仿宋_GB2312" w:cs="Times New Roman"/>
                <w:color w:val="000000"/>
                <w:sz w:val="24"/>
                <w:szCs w:val="24"/>
                <w:lang w:val="en-US" w:eastAsia="zh-CN"/>
              </w:rPr>
              <w:t>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1BF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BB8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251.1</w:t>
            </w:r>
            <w:r>
              <w:rPr>
                <w:rFonts w:hint="eastAsia" w:ascii="Times New Roman" w:hAnsi="Times New Roman" w:eastAsia="仿宋_GB2312" w:cs="Times New Roman"/>
                <w:color w:val="000000"/>
                <w:sz w:val="24"/>
                <w:szCs w:val="24"/>
                <w:lang w:val="en-US" w:eastAsia="zh-CN"/>
              </w:rPr>
              <w:t>2</w:t>
            </w:r>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D077">
            <w:pPr>
              <w:rPr>
                <w:rFonts w:ascii="Times New Roman" w:hAnsi="Times New Roman" w:eastAsia="仿宋_GB2312" w:cs="Times New Roman"/>
                <w:color w:val="000000"/>
                <w:sz w:val="24"/>
                <w:szCs w:val="24"/>
              </w:rPr>
            </w:pPr>
          </w:p>
        </w:tc>
      </w:tr>
      <w:tr w14:paraId="59439CA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39E6">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2121301</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652F">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城市公共设施</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FD77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1EA3">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251.13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D68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251.1</w:t>
            </w:r>
            <w:r>
              <w:rPr>
                <w:rFonts w:hint="eastAsia" w:ascii="Times New Roman" w:hAnsi="Times New Roman" w:eastAsia="仿宋_GB2312" w:cs="Times New Roman"/>
                <w:color w:val="000000"/>
                <w:sz w:val="24"/>
                <w:szCs w:val="24"/>
                <w:lang w:val="en-US" w:eastAsia="zh-CN"/>
              </w:rPr>
              <w:t>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5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76A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rPr>
              <w:t>251.1</w:t>
            </w:r>
            <w:r>
              <w:rPr>
                <w:rFonts w:hint="eastAsia" w:ascii="Times New Roman" w:hAnsi="Times New Roman" w:eastAsia="仿宋_GB2312" w:cs="Times New Roman"/>
                <w:color w:val="000000"/>
                <w:sz w:val="24"/>
                <w:szCs w:val="24"/>
                <w:lang w:val="en-US" w:eastAsia="zh-CN"/>
              </w:rPr>
              <w:t>2</w:t>
            </w:r>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1A7D">
            <w:pPr>
              <w:rPr>
                <w:rFonts w:ascii="Times New Roman" w:hAnsi="Times New Roman" w:eastAsia="仿宋_GB2312" w:cs="Times New Roman"/>
                <w:color w:val="000000"/>
                <w:sz w:val="24"/>
                <w:szCs w:val="24"/>
              </w:rPr>
            </w:pPr>
          </w:p>
        </w:tc>
      </w:tr>
    </w:tbl>
    <w:p w14:paraId="147079F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EC5E7B6">
      <w:pPr>
        <w:widowControl/>
        <w:jc w:val="left"/>
        <w:textAlignment w:val="center"/>
        <w:rPr>
          <w:rFonts w:ascii="Times New Roman" w:hAnsi="Times New Roman" w:eastAsia="仿宋_GB2312" w:cs="Times New Roman"/>
          <w:color w:val="000000"/>
          <w:kern w:val="0"/>
          <w:sz w:val="24"/>
          <w:szCs w:val="24"/>
          <w:lang w:bidi="ar"/>
        </w:rPr>
      </w:pPr>
    </w:p>
    <w:p w14:paraId="2D4D78CC">
      <w:pPr>
        <w:widowControl/>
        <w:jc w:val="left"/>
        <w:textAlignment w:val="center"/>
        <w:rPr>
          <w:rFonts w:ascii="Times New Roman" w:hAnsi="Times New Roman" w:eastAsia="仿宋_GB2312" w:cs="Times New Roman"/>
          <w:b/>
          <w:bCs/>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831D882">
      <w:pPr>
        <w:pStyle w:val="2"/>
      </w:pPr>
    </w:p>
    <w:p w14:paraId="2B292125">
      <w:pPr>
        <w:widowControl/>
        <w:jc w:val="center"/>
        <w:rPr>
          <w:rFonts w:ascii="Times New Roman" w:hAnsi="Times New Roman" w:eastAsia="方正小标宋_GBK" w:cs="Times New Roman"/>
          <w:color w:val="000000"/>
          <w:kern w:val="0"/>
          <w:sz w:val="36"/>
          <w:szCs w:val="36"/>
        </w:rPr>
      </w:pPr>
    </w:p>
    <w:p w14:paraId="5C0CC8B3">
      <w:pPr>
        <w:widowControl/>
        <w:spacing w:line="400" w:lineRule="exact"/>
        <w:textAlignment w:val="center"/>
        <w:rPr>
          <w:rFonts w:ascii="Times New Roman" w:hAnsi="Times New Roman" w:eastAsia="黑体" w:cs="Times New Roman"/>
          <w:color w:val="000000"/>
          <w:kern w:val="0"/>
          <w:sz w:val="36"/>
          <w:szCs w:val="36"/>
          <w:lang w:bidi="ar"/>
        </w:rPr>
      </w:pPr>
    </w:p>
    <w:p w14:paraId="433415EA">
      <w:pPr>
        <w:pStyle w:val="2"/>
        <w:rPr>
          <w:rFonts w:ascii="Times New Roman" w:hAnsi="Times New Roman" w:eastAsia="黑体" w:cs="Times New Roman"/>
          <w:color w:val="000000"/>
          <w:kern w:val="0"/>
          <w:sz w:val="36"/>
          <w:szCs w:val="36"/>
          <w:lang w:bidi="ar"/>
        </w:rPr>
      </w:pPr>
    </w:p>
    <w:p w14:paraId="78891894">
      <w:pPr>
        <w:pStyle w:val="3"/>
        <w:rPr>
          <w:rFonts w:ascii="Times New Roman" w:hAnsi="Times New Roman" w:eastAsia="黑体" w:cs="Times New Roman"/>
          <w:color w:val="000000"/>
          <w:kern w:val="0"/>
          <w:sz w:val="36"/>
          <w:szCs w:val="36"/>
          <w:lang w:bidi="ar"/>
        </w:rPr>
      </w:pPr>
    </w:p>
    <w:p w14:paraId="0549D965">
      <w:pPr>
        <w:rPr>
          <w:rFonts w:ascii="Times New Roman" w:hAnsi="Times New Roman" w:eastAsia="黑体" w:cs="Times New Roman"/>
          <w:color w:val="000000"/>
          <w:kern w:val="0"/>
          <w:sz w:val="36"/>
          <w:szCs w:val="36"/>
          <w:lang w:bidi="ar"/>
        </w:rPr>
      </w:pPr>
    </w:p>
    <w:p w14:paraId="21B05D2B">
      <w:pPr>
        <w:pStyle w:val="2"/>
        <w:rPr>
          <w:rFonts w:ascii="Times New Roman" w:hAnsi="Times New Roman" w:eastAsia="黑体" w:cs="Times New Roman"/>
          <w:color w:val="000000"/>
          <w:kern w:val="0"/>
          <w:sz w:val="36"/>
          <w:szCs w:val="36"/>
          <w:lang w:bidi="ar"/>
        </w:rPr>
      </w:pPr>
    </w:p>
    <w:p w14:paraId="2A01AD83">
      <w:pPr>
        <w:pStyle w:val="3"/>
        <w:rPr>
          <w:rFonts w:ascii="Times New Roman" w:hAnsi="Times New Roman" w:eastAsia="黑体" w:cs="Times New Roman"/>
          <w:color w:val="000000"/>
          <w:kern w:val="0"/>
          <w:sz w:val="36"/>
          <w:szCs w:val="36"/>
          <w:lang w:bidi="ar"/>
        </w:rPr>
      </w:pPr>
    </w:p>
    <w:p w14:paraId="76AB1C01">
      <w:pPr>
        <w:rPr>
          <w:rFonts w:ascii="Times New Roman" w:hAnsi="Times New Roman" w:eastAsia="黑体" w:cs="Times New Roman"/>
          <w:color w:val="000000"/>
          <w:kern w:val="0"/>
          <w:sz w:val="36"/>
          <w:szCs w:val="36"/>
          <w:lang w:bidi="ar"/>
        </w:rPr>
      </w:pPr>
    </w:p>
    <w:p w14:paraId="3760250C">
      <w:pPr>
        <w:pStyle w:val="2"/>
        <w:rPr>
          <w:rFonts w:ascii="Times New Roman" w:hAnsi="Times New Roman" w:eastAsia="黑体" w:cs="Times New Roman"/>
          <w:color w:val="000000"/>
          <w:kern w:val="0"/>
          <w:sz w:val="36"/>
          <w:szCs w:val="36"/>
          <w:lang w:bidi="ar"/>
        </w:rPr>
      </w:pPr>
    </w:p>
    <w:p w14:paraId="40C53743">
      <w:pPr>
        <w:pStyle w:val="3"/>
        <w:rPr>
          <w:rFonts w:ascii="Times New Roman" w:hAnsi="Times New Roman" w:eastAsia="黑体" w:cs="Times New Roman"/>
          <w:color w:val="000000"/>
          <w:kern w:val="0"/>
          <w:sz w:val="36"/>
          <w:szCs w:val="36"/>
          <w:lang w:bidi="ar"/>
        </w:rPr>
      </w:pPr>
    </w:p>
    <w:p w14:paraId="208A7F25">
      <w:pPr>
        <w:rPr>
          <w:rFonts w:ascii="Times New Roman" w:hAnsi="Times New Roman" w:eastAsia="黑体" w:cs="Times New Roman"/>
          <w:color w:val="000000"/>
          <w:kern w:val="0"/>
          <w:sz w:val="36"/>
          <w:szCs w:val="36"/>
          <w:lang w:bidi="ar"/>
        </w:rPr>
      </w:pPr>
    </w:p>
    <w:p w14:paraId="20217F65">
      <w:pPr>
        <w:pStyle w:val="2"/>
      </w:pPr>
    </w:p>
    <w:p w14:paraId="506A0EE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450B4F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D9CE3B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FAFDA1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3F7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4802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2FC323D">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3497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613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F88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522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3614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F9087C9">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7C23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7D96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1160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5C33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9521F">
            <w:pPr>
              <w:jc w:val="center"/>
              <w:rPr>
                <w:rFonts w:ascii="Times New Roman" w:hAnsi="Times New Roman" w:eastAsia="仿宋_GB2312" w:cs="Times New Roman"/>
                <w:color w:val="000000"/>
                <w:sz w:val="24"/>
                <w:szCs w:val="24"/>
              </w:rPr>
            </w:pPr>
          </w:p>
        </w:tc>
      </w:tr>
      <w:tr w14:paraId="511F873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5DCE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936F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6DF8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EB08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5377D">
            <w:pPr>
              <w:jc w:val="center"/>
              <w:rPr>
                <w:rFonts w:ascii="Times New Roman" w:hAnsi="Times New Roman" w:eastAsia="仿宋_GB2312" w:cs="Times New Roman"/>
                <w:color w:val="000000"/>
                <w:sz w:val="24"/>
                <w:szCs w:val="24"/>
              </w:rPr>
            </w:pPr>
          </w:p>
        </w:tc>
      </w:tr>
      <w:tr w14:paraId="018EFF0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F7F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223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80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800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A3EB2C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8D8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839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421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0C895">
            <w:pPr>
              <w:jc w:val="center"/>
              <w:rPr>
                <w:rFonts w:ascii="Times New Roman" w:hAnsi="Times New Roman" w:eastAsia="仿宋_GB2312" w:cs="Times New Roman"/>
                <w:color w:val="000000"/>
                <w:sz w:val="24"/>
                <w:szCs w:val="24"/>
              </w:rPr>
            </w:pPr>
          </w:p>
        </w:tc>
      </w:tr>
      <w:tr w14:paraId="4C44254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FCD2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3D20">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9AEB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2F58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1553F">
            <w:pPr>
              <w:rPr>
                <w:rFonts w:ascii="Times New Roman" w:hAnsi="Times New Roman" w:eastAsia="仿宋_GB2312" w:cs="Times New Roman"/>
                <w:color w:val="000000"/>
                <w:sz w:val="24"/>
                <w:szCs w:val="24"/>
              </w:rPr>
            </w:pPr>
          </w:p>
        </w:tc>
      </w:tr>
      <w:tr w14:paraId="5B457F2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C12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249D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A39D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6C37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31AFC">
            <w:pPr>
              <w:rPr>
                <w:rFonts w:ascii="Times New Roman" w:hAnsi="Times New Roman" w:eastAsia="仿宋_GB2312" w:cs="Times New Roman"/>
                <w:color w:val="000000"/>
                <w:sz w:val="24"/>
                <w:szCs w:val="24"/>
              </w:rPr>
            </w:pPr>
          </w:p>
        </w:tc>
      </w:tr>
      <w:tr w14:paraId="6434A4A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974A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2EC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0D39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DC6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813A">
            <w:pPr>
              <w:rPr>
                <w:rFonts w:ascii="Times New Roman" w:hAnsi="Times New Roman" w:eastAsia="宋体" w:cs="Times New Roman"/>
                <w:color w:val="000000"/>
                <w:sz w:val="24"/>
                <w:szCs w:val="24"/>
              </w:rPr>
            </w:pPr>
          </w:p>
        </w:tc>
      </w:tr>
      <w:tr w14:paraId="6BA9B40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5ECC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5855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359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949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5E420">
            <w:pPr>
              <w:rPr>
                <w:rFonts w:ascii="Times New Roman" w:hAnsi="Times New Roman" w:eastAsia="宋体" w:cs="Times New Roman"/>
                <w:color w:val="000000"/>
                <w:sz w:val="24"/>
                <w:szCs w:val="24"/>
              </w:rPr>
            </w:pPr>
          </w:p>
        </w:tc>
      </w:tr>
      <w:tr w14:paraId="376DB16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23D7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8405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C40C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070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9272">
            <w:pPr>
              <w:rPr>
                <w:rFonts w:ascii="Times New Roman" w:hAnsi="Times New Roman" w:eastAsia="宋体" w:cs="Times New Roman"/>
                <w:color w:val="000000"/>
                <w:sz w:val="24"/>
                <w:szCs w:val="24"/>
              </w:rPr>
            </w:pPr>
          </w:p>
        </w:tc>
      </w:tr>
      <w:tr w14:paraId="499AEA2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43D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E9F6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932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60D2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45E3B">
            <w:pPr>
              <w:rPr>
                <w:rFonts w:ascii="Times New Roman" w:hAnsi="Times New Roman" w:eastAsia="宋体" w:cs="Times New Roman"/>
                <w:color w:val="000000"/>
                <w:sz w:val="24"/>
                <w:szCs w:val="24"/>
              </w:rPr>
            </w:pPr>
          </w:p>
        </w:tc>
      </w:tr>
    </w:tbl>
    <w:p w14:paraId="4BBCB46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471EF0E">
      <w:pPr>
        <w:widowControl/>
        <w:jc w:val="left"/>
        <w:textAlignment w:val="center"/>
        <w:rPr>
          <w:rFonts w:ascii="Times New Roman" w:hAnsi="Times New Roman" w:eastAsia="宋体" w:cs="Times New Roman"/>
          <w:color w:val="000000"/>
          <w:kern w:val="0"/>
          <w:sz w:val="24"/>
          <w:szCs w:val="24"/>
          <w:lang w:bidi="ar"/>
        </w:rPr>
      </w:pPr>
    </w:p>
    <w:p w14:paraId="24AB146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2B54CB2C">
      <w:pPr>
        <w:widowControl/>
        <w:jc w:val="center"/>
        <w:rPr>
          <w:rFonts w:ascii="Times New Roman" w:hAnsi="Times New Roman" w:eastAsia="方正小标宋_GBK" w:cs="Times New Roman"/>
          <w:color w:val="000000"/>
          <w:kern w:val="0"/>
          <w:sz w:val="36"/>
          <w:szCs w:val="36"/>
        </w:rPr>
      </w:pPr>
    </w:p>
    <w:p w14:paraId="400D40B0">
      <w:pPr>
        <w:pStyle w:val="9"/>
        <w:spacing w:line="400" w:lineRule="exact"/>
        <w:rPr>
          <w:rFonts w:ascii="Times New Roman" w:hAnsi="Times New Roman" w:eastAsia="华文中宋" w:cs="Times New Roman"/>
          <w:color w:val="000000"/>
          <w:kern w:val="0"/>
          <w:sz w:val="32"/>
          <w:szCs w:val="32"/>
          <w:lang w:bidi="ar"/>
        </w:rPr>
      </w:pPr>
    </w:p>
    <w:p w14:paraId="2EDB420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5062C6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95D982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3" w:type="pct"/>
        <w:jc w:val="center"/>
        <w:tblLayout w:type="autofit"/>
        <w:tblCellMar>
          <w:top w:w="0" w:type="dxa"/>
          <w:left w:w="108" w:type="dxa"/>
          <w:bottom w:w="0" w:type="dxa"/>
          <w:right w:w="108" w:type="dxa"/>
        </w:tblCellMar>
      </w:tblPr>
      <w:tblGrid>
        <w:gridCol w:w="934"/>
        <w:gridCol w:w="1227"/>
        <w:gridCol w:w="1085"/>
        <w:gridCol w:w="1187"/>
        <w:gridCol w:w="1422"/>
        <w:gridCol w:w="1381"/>
        <w:gridCol w:w="1047"/>
        <w:gridCol w:w="1163"/>
        <w:gridCol w:w="1163"/>
        <w:gridCol w:w="1163"/>
        <w:gridCol w:w="1361"/>
        <w:gridCol w:w="1408"/>
      </w:tblGrid>
      <w:tr w14:paraId="71078ECB">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73A1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03CA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B383CC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CCF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EDB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EFC7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520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5353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301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962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B197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249F3F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4882F">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5C0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8ED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02E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F3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BCB74">
            <w:pPr>
              <w:jc w:val="center"/>
              <w:rPr>
                <w:rFonts w:ascii="Times New Roman" w:hAnsi="Times New Roman" w:eastAsia="仿宋_GB2312" w:cs="Times New Roman"/>
                <w:color w:val="000000"/>
                <w:sz w:val="22"/>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644AC">
            <w:pP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CEE29">
            <w:pP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AA3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09C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719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C56CC">
            <w:pPr>
              <w:jc w:val="center"/>
              <w:rPr>
                <w:rFonts w:ascii="Times New Roman" w:hAnsi="Times New Roman" w:eastAsia="仿宋_GB2312" w:cs="Times New Roman"/>
                <w:color w:val="000000"/>
                <w:sz w:val="22"/>
              </w:rPr>
            </w:pPr>
          </w:p>
        </w:tc>
      </w:tr>
      <w:tr w14:paraId="7F8A6AB1">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8ED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176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303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C1A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EDA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272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C57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F6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4DC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0A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7E1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DF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CE1500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0145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22.66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B72A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CB35">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val="en-US" w:eastAsia="zh-CN"/>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0F785">
            <w:pPr>
              <w:jc w:val="center"/>
              <w:rPr>
                <w:rFonts w:ascii="Times New Roman" w:hAnsi="Times New Roman" w:eastAsia="仿宋_GB2312" w:cs="Times New Roman"/>
                <w:color w:val="000000"/>
                <w:sz w:val="22"/>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00BD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E3A78">
            <w:pPr>
              <w:ind w:firstLine="220" w:firstLineChars="1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F356">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3.92</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E70A2">
            <w:pP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F7E98">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3.92</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2093A">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C1BD9">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3.92</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31D0F">
            <w:pPr>
              <w:rPr>
                <w:rFonts w:ascii="Times New Roman" w:hAnsi="Times New Roman" w:eastAsia="仿宋_GB2312" w:cs="Times New Roman"/>
                <w:color w:val="000000"/>
                <w:sz w:val="22"/>
              </w:rPr>
            </w:pPr>
          </w:p>
        </w:tc>
      </w:tr>
    </w:tbl>
    <w:p w14:paraId="64D5A8C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92A795A">
      <w:pPr>
        <w:autoSpaceDE w:val="0"/>
        <w:autoSpaceDN w:val="0"/>
        <w:adjustRightInd w:val="0"/>
        <w:ind w:left="315" w:leftChars="150"/>
        <w:jc w:val="left"/>
        <w:rPr>
          <w:rFonts w:ascii="Times New Roman" w:hAnsi="Times New Roman" w:eastAsia="宋体" w:cs="Times New Roman"/>
          <w:kern w:val="0"/>
          <w:sz w:val="24"/>
          <w:szCs w:val="24"/>
        </w:rPr>
      </w:pPr>
    </w:p>
    <w:p w14:paraId="03A4F6F7">
      <w:pPr>
        <w:autoSpaceDE w:val="0"/>
        <w:autoSpaceDN w:val="0"/>
        <w:adjustRightInd w:val="0"/>
        <w:ind w:left="315" w:leftChars="150"/>
        <w:jc w:val="left"/>
        <w:rPr>
          <w:rFonts w:ascii="Times New Roman" w:hAnsi="Times New Roman" w:eastAsia="宋体" w:cs="Times New Roman"/>
          <w:kern w:val="0"/>
          <w:sz w:val="24"/>
          <w:szCs w:val="24"/>
        </w:rPr>
      </w:pPr>
    </w:p>
    <w:p w14:paraId="60F0559F">
      <w:pPr>
        <w:autoSpaceDE w:val="0"/>
        <w:autoSpaceDN w:val="0"/>
        <w:adjustRightInd w:val="0"/>
        <w:ind w:left="315" w:leftChars="150"/>
        <w:jc w:val="left"/>
        <w:rPr>
          <w:rFonts w:ascii="Times New Roman" w:hAnsi="Times New Roman" w:eastAsia="宋体" w:cs="Times New Roman"/>
          <w:kern w:val="0"/>
          <w:sz w:val="24"/>
          <w:szCs w:val="24"/>
        </w:rPr>
      </w:pPr>
    </w:p>
    <w:p w14:paraId="0F47D74A">
      <w:pPr>
        <w:autoSpaceDE w:val="0"/>
        <w:autoSpaceDN w:val="0"/>
        <w:adjustRightInd w:val="0"/>
        <w:ind w:left="315" w:leftChars="150"/>
        <w:jc w:val="left"/>
        <w:rPr>
          <w:rFonts w:ascii="Times New Roman" w:hAnsi="Times New Roman" w:eastAsia="宋体" w:cs="Times New Roman"/>
          <w:kern w:val="0"/>
          <w:sz w:val="24"/>
          <w:szCs w:val="24"/>
        </w:rPr>
      </w:pPr>
    </w:p>
    <w:p w14:paraId="5F6787D8">
      <w:pPr>
        <w:autoSpaceDE w:val="0"/>
        <w:autoSpaceDN w:val="0"/>
        <w:adjustRightInd w:val="0"/>
        <w:ind w:left="315" w:leftChars="150"/>
        <w:jc w:val="left"/>
        <w:rPr>
          <w:rFonts w:ascii="Times New Roman" w:hAnsi="Times New Roman" w:eastAsia="宋体" w:cs="Times New Roman"/>
          <w:kern w:val="0"/>
          <w:sz w:val="24"/>
          <w:szCs w:val="24"/>
        </w:rPr>
      </w:pPr>
    </w:p>
    <w:p w14:paraId="7549DDED">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B135B71">
      <w:pPr>
        <w:pStyle w:val="14"/>
        <w:rPr>
          <w:rFonts w:ascii="Times New Roman" w:hAnsi="Times New Roman" w:cs="Times New Roman"/>
          <w:sz w:val="72"/>
          <w:szCs w:val="72"/>
        </w:rPr>
      </w:pPr>
    </w:p>
    <w:p w14:paraId="213F68BE">
      <w:pPr>
        <w:pStyle w:val="14"/>
        <w:rPr>
          <w:rFonts w:ascii="Times New Roman" w:hAnsi="Times New Roman" w:cs="Times New Roman"/>
          <w:sz w:val="72"/>
          <w:szCs w:val="72"/>
        </w:rPr>
      </w:pPr>
    </w:p>
    <w:p w14:paraId="7CA316F5">
      <w:pPr>
        <w:pStyle w:val="14"/>
        <w:rPr>
          <w:rFonts w:ascii="Times New Roman" w:hAnsi="Times New Roman" w:cs="Times New Roman"/>
          <w:sz w:val="72"/>
          <w:szCs w:val="72"/>
        </w:rPr>
      </w:pPr>
    </w:p>
    <w:p w14:paraId="47C6A9A0">
      <w:pPr>
        <w:pStyle w:val="14"/>
        <w:jc w:val="center"/>
        <w:rPr>
          <w:rFonts w:ascii="Times New Roman" w:hAnsi="Times New Roman" w:cs="Times New Roman"/>
          <w:sz w:val="72"/>
          <w:szCs w:val="72"/>
        </w:rPr>
      </w:pPr>
    </w:p>
    <w:p w14:paraId="32DD552E">
      <w:pPr>
        <w:pStyle w:val="14"/>
        <w:jc w:val="center"/>
        <w:rPr>
          <w:rFonts w:ascii="Times New Roman" w:hAnsi="Times New Roman" w:eastAsia="方正小标宋_GBK" w:cs="Times New Roman"/>
          <w:sz w:val="72"/>
          <w:szCs w:val="72"/>
        </w:rPr>
      </w:pPr>
    </w:p>
    <w:p w14:paraId="0AFCF58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251D57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00E736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A90A19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D53CA2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u w:val="none"/>
          <w:lang w:eastAsia="zh-CN"/>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年度收、支总计</w:t>
      </w:r>
      <w:r>
        <w:rPr>
          <w:rFonts w:hint="eastAsia" w:ascii="Times New Roman" w:hAnsi="Times New Roman" w:eastAsia="仿宋_GB2312" w:cs="Times New Roman"/>
          <w:sz w:val="32"/>
          <w:szCs w:val="32"/>
          <w:u w:val="none"/>
          <w:lang w:val="en-US" w:eastAsia="zh-CN"/>
        </w:rPr>
        <w:t>1961.56</w:t>
      </w:r>
      <w:r>
        <w:rPr>
          <w:rFonts w:ascii="Times New Roman" w:hAnsi="Times New Roman" w:eastAsia="仿宋_GB2312" w:cs="Times New Roman"/>
          <w:sz w:val="32"/>
          <w:szCs w:val="32"/>
          <w:u w:val="none"/>
        </w:rPr>
        <w:t>万元。与</w:t>
      </w:r>
      <w:r>
        <w:rPr>
          <w:rFonts w:hint="eastAsia" w:ascii="Times New Roman" w:hAnsi="Times New Roman" w:eastAsia="仿宋_GB2312" w:cs="Times New Roman"/>
          <w:sz w:val="32"/>
          <w:szCs w:val="32"/>
          <w:u w:val="none"/>
          <w:lang w:val="en-US" w:eastAsia="zh-CN"/>
        </w:rPr>
        <w:t>2024年</w:t>
      </w:r>
      <w:r>
        <w:rPr>
          <w:rFonts w:ascii="Times New Roman" w:hAnsi="Times New Roman" w:eastAsia="仿宋_GB2312" w:cs="Times New Roman"/>
          <w:sz w:val="32"/>
          <w:szCs w:val="32"/>
          <w:u w:val="none"/>
        </w:rPr>
        <w:t>相比，减少</w:t>
      </w:r>
      <w:r>
        <w:rPr>
          <w:rFonts w:hint="eastAsia" w:ascii="Times New Roman" w:hAnsi="Times New Roman" w:eastAsia="仿宋_GB2312" w:cs="Times New Roman"/>
          <w:sz w:val="32"/>
          <w:szCs w:val="32"/>
          <w:u w:val="none"/>
          <w:lang w:val="en-US" w:eastAsia="zh-CN"/>
        </w:rPr>
        <w:t>11972.40</w:t>
      </w:r>
      <w:r>
        <w:rPr>
          <w:rFonts w:ascii="Times New Roman" w:hAnsi="Times New Roman" w:eastAsia="仿宋_GB2312" w:cs="Times New Roman"/>
          <w:sz w:val="32"/>
          <w:szCs w:val="32"/>
          <w:u w:val="none"/>
        </w:rPr>
        <w:t>万元，降低</w:t>
      </w:r>
      <w:r>
        <w:rPr>
          <w:rFonts w:hint="eastAsia" w:ascii="Times New Roman" w:hAnsi="Times New Roman" w:eastAsia="仿宋_GB2312" w:cs="Times New Roman"/>
          <w:sz w:val="32"/>
          <w:szCs w:val="32"/>
          <w:u w:val="none"/>
          <w:lang w:val="en-US" w:eastAsia="zh-CN"/>
        </w:rPr>
        <w:t>85.92</w:t>
      </w:r>
      <w:r>
        <w:rPr>
          <w:rFonts w:ascii="Times New Roman" w:hAnsi="Times New Roman" w:eastAsia="仿宋_GB2312" w:cs="Times New Roman"/>
          <w:sz w:val="32"/>
          <w:szCs w:val="32"/>
          <w:u w:val="none"/>
        </w:rPr>
        <w:t>%，主要是因为</w:t>
      </w:r>
      <w:r>
        <w:rPr>
          <w:rFonts w:hint="eastAsia" w:ascii="Times New Roman" w:hAnsi="Times New Roman" w:eastAsia="仿宋_GB2312" w:cs="Times New Roman"/>
          <w:sz w:val="32"/>
          <w:szCs w:val="32"/>
          <w:u w:val="none"/>
          <w:lang w:val="en-US" w:eastAsia="zh-CN"/>
        </w:rPr>
        <w:t>2024年拨付塔峰一市场重建项目专项债资金9000万元，以及支付一市场搬迁奖补资金约1000万元</w:t>
      </w:r>
      <w:r>
        <w:rPr>
          <w:rFonts w:hint="eastAsia" w:ascii="Times New Roman" w:hAnsi="Times New Roman" w:eastAsia="仿宋_GB2312" w:cs="Times New Roman"/>
          <w:sz w:val="32"/>
          <w:szCs w:val="32"/>
          <w:u w:val="none"/>
          <w:lang w:eastAsia="zh-CN"/>
        </w:rPr>
        <w:t>。</w:t>
      </w:r>
    </w:p>
    <w:p w14:paraId="686DBBCE">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二、收入决算情况说明</w:t>
      </w:r>
    </w:p>
    <w:p w14:paraId="073CB280">
      <w:pPr>
        <w:pStyle w:val="14"/>
        <w:overflowPunct w:val="0"/>
        <w:autoSpaceDE/>
        <w:autoSpaceDN/>
        <w:spacing w:line="600" w:lineRule="exact"/>
        <w:ind w:firstLine="640" w:firstLineChars="200"/>
        <w:jc w:val="both"/>
        <w:rPr>
          <w:rFonts w:ascii="Times New Roman" w:hAnsi="Times New Roman" w:eastAsia="仿宋_GB2312" w:cs="Times New Roman"/>
          <w:sz w:val="32"/>
          <w:szCs w:val="32"/>
          <w:u w:val="none"/>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年度收入合计</w:t>
      </w:r>
      <w:r>
        <w:rPr>
          <w:rFonts w:hint="eastAsia" w:ascii="Times New Roman" w:hAnsi="Times New Roman" w:eastAsia="仿宋_GB2312" w:cs="Times New Roman"/>
          <w:sz w:val="32"/>
          <w:szCs w:val="32"/>
          <w:u w:val="none"/>
          <w:lang w:val="en-US" w:eastAsia="zh-CN"/>
        </w:rPr>
        <w:t>1961.56</w:t>
      </w:r>
      <w:r>
        <w:rPr>
          <w:rFonts w:ascii="Times New Roman" w:hAnsi="Times New Roman" w:eastAsia="仿宋_GB2312" w:cs="Times New Roman"/>
          <w:sz w:val="32"/>
          <w:szCs w:val="32"/>
          <w:u w:val="none"/>
        </w:rPr>
        <w:t>万元，其中：财政拨款收入</w:t>
      </w:r>
      <w:r>
        <w:rPr>
          <w:rFonts w:hint="eastAsia" w:ascii="Times New Roman" w:hAnsi="Times New Roman" w:eastAsia="仿宋_GB2312" w:cs="Times New Roman"/>
          <w:sz w:val="32"/>
          <w:szCs w:val="32"/>
          <w:u w:val="none"/>
          <w:lang w:val="en-US" w:eastAsia="zh-CN"/>
        </w:rPr>
        <w:t>1961.56</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100  </w:t>
      </w:r>
      <w:r>
        <w:rPr>
          <w:rFonts w:ascii="Times New Roman" w:hAnsi="Times New Roman" w:eastAsia="仿宋_GB2312" w:cs="Times New Roman"/>
          <w:sz w:val="32"/>
          <w:szCs w:val="32"/>
          <w:u w:val="none"/>
        </w:rPr>
        <w:t>%；上级补助收入</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；事业收入</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；经营收入</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%；附属单位上缴收入</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%；其他收入</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w:t>
      </w:r>
    </w:p>
    <w:p w14:paraId="509F92A4">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三、支出决算情况说明</w:t>
      </w:r>
    </w:p>
    <w:p w14:paraId="052823E8">
      <w:pPr>
        <w:pStyle w:val="14"/>
        <w:overflowPunct w:val="0"/>
        <w:autoSpaceDE/>
        <w:autoSpaceDN/>
        <w:spacing w:line="600" w:lineRule="exact"/>
        <w:ind w:firstLine="640" w:firstLineChars="200"/>
        <w:jc w:val="both"/>
        <w:rPr>
          <w:rFonts w:ascii="Times New Roman" w:hAnsi="Times New Roman" w:eastAsia="仿宋_GB2312" w:cs="Times New Roman"/>
          <w:sz w:val="32"/>
          <w:szCs w:val="32"/>
          <w:u w:val="none"/>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年度支出合计</w:t>
      </w:r>
      <w:r>
        <w:rPr>
          <w:rFonts w:hint="eastAsia" w:ascii="Times New Roman" w:hAnsi="Times New Roman" w:eastAsia="仿宋_GB2312" w:cs="Times New Roman"/>
          <w:sz w:val="32"/>
          <w:szCs w:val="32"/>
          <w:u w:val="none"/>
          <w:lang w:val="en-US" w:eastAsia="zh-CN"/>
        </w:rPr>
        <w:t>1961.56</w:t>
      </w:r>
      <w:r>
        <w:rPr>
          <w:rFonts w:ascii="Times New Roman" w:hAnsi="Times New Roman" w:eastAsia="仿宋_GB2312" w:cs="Times New Roman"/>
          <w:sz w:val="32"/>
          <w:szCs w:val="32"/>
          <w:u w:val="none"/>
        </w:rPr>
        <w:t>万元，其中：基本支出</w:t>
      </w:r>
      <w:r>
        <w:rPr>
          <w:rFonts w:hint="eastAsia" w:ascii="Times New Roman" w:hAnsi="Times New Roman" w:eastAsia="仿宋_GB2312" w:cs="Times New Roman"/>
          <w:sz w:val="32"/>
          <w:szCs w:val="32"/>
          <w:u w:val="none"/>
          <w:lang w:val="en-US" w:eastAsia="zh-CN"/>
        </w:rPr>
        <w:t>1120.00</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57.10 </w:t>
      </w:r>
      <w:r>
        <w:rPr>
          <w:rFonts w:ascii="Times New Roman" w:hAnsi="Times New Roman" w:eastAsia="仿宋_GB2312" w:cs="Times New Roman"/>
          <w:sz w:val="32"/>
          <w:szCs w:val="32"/>
          <w:u w:val="none"/>
        </w:rPr>
        <w:t>%；项目支出</w:t>
      </w:r>
      <w:r>
        <w:rPr>
          <w:rFonts w:hint="eastAsia" w:ascii="Times New Roman" w:hAnsi="Times New Roman" w:eastAsia="仿宋_GB2312" w:cs="Times New Roman"/>
          <w:sz w:val="32"/>
          <w:szCs w:val="32"/>
          <w:u w:val="none"/>
          <w:lang w:val="en-US" w:eastAsia="zh-CN"/>
        </w:rPr>
        <w:t>841.56</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42.90 </w:t>
      </w:r>
      <w:r>
        <w:rPr>
          <w:rFonts w:ascii="Times New Roman" w:hAnsi="Times New Roman" w:eastAsia="仿宋_GB2312" w:cs="Times New Roman"/>
          <w:sz w:val="32"/>
          <w:szCs w:val="32"/>
          <w:u w:val="none"/>
        </w:rPr>
        <w:t>%；上缴上级支出</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%；经营支出</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%；对附属单位补助支出</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w:t>
      </w:r>
    </w:p>
    <w:p w14:paraId="57AE1B43">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四、财政拨款收入支出决算总体情况说明</w:t>
      </w:r>
    </w:p>
    <w:p w14:paraId="1B2F8C90">
      <w:pPr>
        <w:pStyle w:val="14"/>
        <w:overflowPunct w:val="0"/>
        <w:autoSpaceDE/>
        <w:autoSpaceDN/>
        <w:spacing w:line="600" w:lineRule="exact"/>
        <w:ind w:firstLine="640" w:firstLineChars="200"/>
        <w:jc w:val="both"/>
        <w:rPr>
          <w:rFonts w:ascii="Times New Roman" w:hAnsi="Times New Roman" w:eastAsia="仿宋_GB2312" w:cs="Times New Roman"/>
          <w:sz w:val="32"/>
          <w:szCs w:val="32"/>
          <w:u w:val="none"/>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年度财政拨款收、支总计</w:t>
      </w:r>
      <w:r>
        <w:rPr>
          <w:rFonts w:hint="eastAsia" w:ascii="Times New Roman" w:hAnsi="Times New Roman" w:eastAsia="仿宋_GB2312" w:cs="Times New Roman"/>
          <w:sz w:val="32"/>
          <w:szCs w:val="32"/>
          <w:u w:val="none"/>
          <w:lang w:val="en-US" w:eastAsia="zh-CN"/>
        </w:rPr>
        <w:t>1961.56</w:t>
      </w:r>
      <w:r>
        <w:rPr>
          <w:rFonts w:ascii="Times New Roman" w:hAnsi="Times New Roman" w:eastAsia="仿宋_GB2312" w:cs="Times New Roman"/>
          <w:sz w:val="32"/>
          <w:szCs w:val="32"/>
          <w:u w:val="none"/>
        </w:rPr>
        <w:t>万元，与上年相比，减少</w:t>
      </w:r>
      <w:r>
        <w:rPr>
          <w:rFonts w:hint="eastAsia" w:ascii="Times New Roman" w:hAnsi="Times New Roman" w:eastAsia="仿宋_GB2312" w:cs="Times New Roman"/>
          <w:sz w:val="32"/>
          <w:szCs w:val="32"/>
          <w:u w:val="none"/>
          <w:lang w:val="en-US" w:eastAsia="zh-CN"/>
        </w:rPr>
        <w:t>11972.40</w:t>
      </w:r>
      <w:r>
        <w:rPr>
          <w:rFonts w:ascii="Times New Roman" w:hAnsi="Times New Roman" w:eastAsia="仿宋_GB2312" w:cs="Times New Roman"/>
          <w:sz w:val="32"/>
          <w:szCs w:val="32"/>
          <w:u w:val="none"/>
        </w:rPr>
        <w:t>万元,降低</w:t>
      </w:r>
      <w:r>
        <w:rPr>
          <w:rFonts w:hint="eastAsia" w:ascii="Times New Roman" w:hAnsi="Times New Roman" w:eastAsia="仿宋_GB2312" w:cs="Times New Roman"/>
          <w:sz w:val="32"/>
          <w:szCs w:val="32"/>
          <w:u w:val="none"/>
          <w:lang w:val="en-US" w:eastAsia="zh-CN"/>
        </w:rPr>
        <w:t>85.92</w:t>
      </w:r>
      <w:r>
        <w:rPr>
          <w:rFonts w:ascii="Times New Roman" w:hAnsi="Times New Roman" w:eastAsia="仿宋_GB2312" w:cs="Times New Roman"/>
          <w:sz w:val="32"/>
          <w:szCs w:val="32"/>
          <w:u w:val="none"/>
        </w:rPr>
        <w:t>%，主要是因为</w:t>
      </w:r>
      <w:r>
        <w:rPr>
          <w:rFonts w:hint="eastAsia" w:ascii="Times New Roman" w:hAnsi="Times New Roman" w:eastAsia="仿宋_GB2312" w:cs="Times New Roman"/>
          <w:sz w:val="32"/>
          <w:szCs w:val="32"/>
          <w:u w:val="none"/>
          <w:lang w:val="en-US" w:eastAsia="zh-CN"/>
        </w:rPr>
        <w:t>2024年拨付塔峰一市场重建项目专项债资金9000万元，以及支付一市场搬迁奖补资金约1000万元</w:t>
      </w:r>
      <w:r>
        <w:rPr>
          <w:rFonts w:hint="eastAsia" w:ascii="Times New Roman" w:hAnsi="Times New Roman" w:eastAsia="仿宋_GB2312" w:cs="Times New Roman"/>
          <w:sz w:val="32"/>
          <w:szCs w:val="32"/>
          <w:u w:val="none"/>
          <w:lang w:eastAsia="zh-CN"/>
        </w:rPr>
        <w:t>。</w:t>
      </w:r>
    </w:p>
    <w:p w14:paraId="4FC93F97">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五、一般公共预算财政拨款支出决算情况说明</w:t>
      </w:r>
    </w:p>
    <w:p w14:paraId="570C5CE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u w:val="none"/>
        </w:rPr>
      </w:pPr>
      <w:r>
        <w:rPr>
          <w:rFonts w:ascii="Times New Roman" w:hAnsi="Times New Roman" w:eastAsia="楷体_GB2312" w:cs="Times New Roman"/>
          <w:b/>
          <w:sz w:val="32"/>
          <w:szCs w:val="32"/>
          <w:u w:val="none"/>
        </w:rPr>
        <w:t>（一）一般公共预算财政拨款支出决算总体情况</w:t>
      </w:r>
    </w:p>
    <w:p w14:paraId="52C1C8FE">
      <w:pPr>
        <w:pStyle w:val="14"/>
        <w:overflowPunct w:val="0"/>
        <w:autoSpaceDE/>
        <w:autoSpaceDN/>
        <w:spacing w:line="600" w:lineRule="exact"/>
        <w:ind w:firstLine="640" w:firstLineChars="200"/>
        <w:jc w:val="both"/>
        <w:rPr>
          <w:rFonts w:ascii="Times New Roman" w:hAnsi="Times New Roman" w:eastAsia="仿宋_GB2312" w:cs="Times New Roman"/>
          <w:sz w:val="32"/>
          <w:szCs w:val="32"/>
          <w:u w:val="none"/>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年度财政拨款支出</w:t>
      </w:r>
      <w:r>
        <w:rPr>
          <w:rFonts w:hint="eastAsia" w:ascii="Times New Roman" w:hAnsi="Times New Roman" w:eastAsia="仿宋_GB2312" w:cs="Times New Roman"/>
          <w:sz w:val="32"/>
          <w:szCs w:val="32"/>
          <w:u w:val="none"/>
          <w:lang w:val="en-US" w:eastAsia="zh-CN"/>
        </w:rPr>
        <w:t>1961.56</w:t>
      </w:r>
      <w:r>
        <w:rPr>
          <w:rFonts w:ascii="Times New Roman" w:hAnsi="Times New Roman" w:eastAsia="仿宋_GB2312" w:cs="Times New Roman"/>
          <w:sz w:val="32"/>
          <w:szCs w:val="32"/>
          <w:u w:val="none"/>
        </w:rPr>
        <w:t>万元，占本年支出合计的</w:t>
      </w:r>
      <w:r>
        <w:rPr>
          <w:rFonts w:hint="eastAsia" w:ascii="Times New Roman" w:hAnsi="Times New Roman" w:eastAsia="仿宋_GB2312" w:cs="Times New Roman"/>
          <w:sz w:val="32"/>
          <w:szCs w:val="32"/>
          <w:u w:val="none"/>
          <w:lang w:val="en-US" w:eastAsia="zh-CN"/>
        </w:rPr>
        <w:t>100</w:t>
      </w:r>
      <w:r>
        <w:rPr>
          <w:rFonts w:ascii="Times New Roman" w:hAnsi="Times New Roman" w:eastAsia="仿宋_GB2312" w:cs="Times New Roman"/>
          <w:sz w:val="32"/>
          <w:szCs w:val="32"/>
          <w:u w:val="none"/>
        </w:rPr>
        <w:t>%，与</w:t>
      </w:r>
      <w:r>
        <w:rPr>
          <w:rFonts w:hint="eastAsia" w:ascii="Times New Roman" w:hAnsi="Times New Roman" w:eastAsia="仿宋_GB2312" w:cs="Times New Roman"/>
          <w:sz w:val="32"/>
          <w:szCs w:val="32"/>
          <w:u w:val="none"/>
          <w:lang w:val="en-US" w:eastAsia="zh-CN"/>
        </w:rPr>
        <w:t>2024</w:t>
      </w:r>
      <w:r>
        <w:rPr>
          <w:rFonts w:ascii="Times New Roman" w:hAnsi="Times New Roman" w:eastAsia="仿宋_GB2312" w:cs="Times New Roman"/>
          <w:sz w:val="32"/>
          <w:szCs w:val="32"/>
          <w:u w:val="none"/>
        </w:rPr>
        <w:t>年相比，财政拨款支出减少</w:t>
      </w:r>
      <w:r>
        <w:rPr>
          <w:rFonts w:hint="eastAsia" w:ascii="Times New Roman" w:hAnsi="Times New Roman" w:eastAsia="仿宋_GB2312" w:cs="Times New Roman"/>
          <w:sz w:val="32"/>
          <w:szCs w:val="32"/>
          <w:u w:val="none"/>
          <w:lang w:val="en-US" w:eastAsia="zh-CN"/>
        </w:rPr>
        <w:t>11972.40</w:t>
      </w:r>
      <w:r>
        <w:rPr>
          <w:rFonts w:ascii="Times New Roman" w:hAnsi="Times New Roman" w:eastAsia="仿宋_GB2312" w:cs="Times New Roman"/>
          <w:sz w:val="32"/>
          <w:szCs w:val="32"/>
          <w:u w:val="none"/>
        </w:rPr>
        <w:t>万元，降低</w:t>
      </w:r>
      <w:r>
        <w:rPr>
          <w:rFonts w:hint="eastAsia" w:ascii="Times New Roman" w:hAnsi="Times New Roman" w:eastAsia="仿宋_GB2312" w:cs="Times New Roman"/>
          <w:sz w:val="32"/>
          <w:szCs w:val="32"/>
          <w:u w:val="none"/>
          <w:lang w:val="en-US" w:eastAsia="zh-CN"/>
        </w:rPr>
        <w:t>85.92</w:t>
      </w:r>
      <w:r>
        <w:rPr>
          <w:rFonts w:ascii="Times New Roman" w:hAnsi="Times New Roman" w:eastAsia="仿宋_GB2312" w:cs="Times New Roman"/>
          <w:sz w:val="32"/>
          <w:szCs w:val="32"/>
          <w:u w:val="none"/>
        </w:rPr>
        <w:t>%，主要是因为</w:t>
      </w:r>
      <w:r>
        <w:rPr>
          <w:rFonts w:hint="eastAsia" w:ascii="Times New Roman" w:hAnsi="Times New Roman" w:eastAsia="仿宋_GB2312" w:cs="Times New Roman"/>
          <w:sz w:val="32"/>
          <w:szCs w:val="32"/>
          <w:u w:val="none"/>
          <w:lang w:val="en-US" w:eastAsia="zh-CN"/>
        </w:rPr>
        <w:t>2024年拨付塔峰一市场重建项目专项债资金9000万元，以及支付一市场搬迁奖补资金约1000万元</w:t>
      </w:r>
      <w:r>
        <w:rPr>
          <w:rFonts w:hint="eastAsia" w:ascii="Times New Roman" w:hAnsi="Times New Roman" w:eastAsia="仿宋_GB2312" w:cs="Times New Roman"/>
          <w:sz w:val="32"/>
          <w:szCs w:val="32"/>
          <w:u w:val="none"/>
          <w:lang w:eastAsia="zh-CN"/>
        </w:rPr>
        <w:t>。</w:t>
      </w:r>
    </w:p>
    <w:p w14:paraId="19D59F4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u w:val="none"/>
        </w:rPr>
      </w:pPr>
      <w:r>
        <w:rPr>
          <w:rFonts w:ascii="Times New Roman" w:hAnsi="Times New Roman" w:eastAsia="楷体_GB2312" w:cs="Times New Roman"/>
          <w:b/>
          <w:sz w:val="32"/>
          <w:szCs w:val="32"/>
          <w:u w:val="none"/>
        </w:rPr>
        <w:t>（二）一般公共预算财政拨款支出决算结构情况</w:t>
      </w:r>
    </w:p>
    <w:p w14:paraId="4102D051">
      <w:pPr>
        <w:pStyle w:val="14"/>
        <w:spacing w:line="600" w:lineRule="exact"/>
        <w:ind w:firstLine="640" w:firstLineChars="200"/>
        <w:rPr>
          <w:rFonts w:ascii="Times New Roman" w:hAnsi="Times New Roman" w:eastAsia="仿宋_GB2312" w:cs="Times New Roman"/>
          <w:color w:val="auto"/>
          <w:sz w:val="32"/>
          <w:szCs w:val="32"/>
          <w:u w:val="none"/>
        </w:rPr>
      </w:pPr>
      <w:r>
        <w:rPr>
          <w:rFonts w:hint="eastAsia" w:ascii="Times New Roman" w:hAnsi="Times New Roman" w:eastAsia="仿宋_GB2312" w:cs="Times New Roman"/>
          <w:sz w:val="32"/>
          <w:szCs w:val="32"/>
          <w:u w:val="none"/>
          <w:lang w:eastAsia="zh-CN"/>
        </w:rPr>
        <w:t>2025年</w:t>
      </w:r>
      <w:r>
        <w:rPr>
          <w:rFonts w:ascii="Times New Roman" w:hAnsi="Times New Roman" w:eastAsia="仿宋_GB2312" w:cs="Times New Roman"/>
          <w:sz w:val="32"/>
          <w:szCs w:val="32"/>
          <w:u w:val="none"/>
        </w:rPr>
        <w:t>度财政拨款支出</w:t>
      </w:r>
      <w:r>
        <w:rPr>
          <w:rFonts w:hint="eastAsia" w:ascii="Times New Roman" w:hAnsi="Times New Roman" w:eastAsia="仿宋_GB2312" w:cs="Times New Roman"/>
          <w:sz w:val="32"/>
          <w:szCs w:val="32"/>
          <w:u w:val="none"/>
          <w:lang w:val="en-US" w:eastAsia="zh-CN"/>
        </w:rPr>
        <w:t>1961.56</w:t>
      </w:r>
      <w:r>
        <w:rPr>
          <w:rFonts w:ascii="Times New Roman" w:hAnsi="Times New Roman" w:eastAsia="仿宋_GB2312" w:cs="Times New Roman"/>
          <w:sz w:val="32"/>
          <w:szCs w:val="32"/>
          <w:u w:val="none"/>
        </w:rPr>
        <w:t>万元，主要用于以下方面：一般公共服务（类）支出</w:t>
      </w:r>
      <w:r>
        <w:rPr>
          <w:rFonts w:hint="eastAsia" w:ascii="Times New Roman" w:hAnsi="Times New Roman" w:eastAsia="仿宋_GB2312" w:cs="Times New Roman"/>
          <w:sz w:val="32"/>
          <w:szCs w:val="32"/>
          <w:u w:val="none"/>
          <w:lang w:val="en-US" w:eastAsia="zh-CN"/>
        </w:rPr>
        <w:t>1103.84</w:t>
      </w:r>
      <w:r>
        <w:rPr>
          <w:rFonts w:ascii="Times New Roman" w:hAnsi="Times New Roman" w:eastAsia="仿宋_GB2312" w:cs="Times New Roman"/>
          <w:sz w:val="32"/>
          <w:szCs w:val="32"/>
          <w:u w:val="none"/>
        </w:rPr>
        <w:t>万元，占</w:t>
      </w:r>
      <w:r>
        <w:rPr>
          <w:rFonts w:hint="eastAsia" w:ascii="Times New Roman" w:hAnsi="Times New Roman" w:eastAsia="仿宋_GB2312" w:cs="Times New Roman"/>
          <w:sz w:val="32"/>
          <w:szCs w:val="32"/>
          <w:u w:val="none"/>
          <w:lang w:val="en-US" w:eastAsia="zh-CN"/>
        </w:rPr>
        <w:t>56.27</w:t>
      </w:r>
      <w:r>
        <w:rPr>
          <w:rFonts w:ascii="Times New Roman" w:hAnsi="Times New Roman" w:eastAsia="仿宋_GB2312" w:cs="Times New Roman"/>
          <w:sz w:val="32"/>
          <w:szCs w:val="32"/>
          <w:u w:val="none"/>
        </w:rPr>
        <w:t>%</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rPr>
        <w:t>社会保障和就业支出</w:t>
      </w:r>
      <w:r>
        <w:rPr>
          <w:rFonts w:ascii="Times New Roman" w:hAnsi="Times New Roman" w:eastAsia="仿宋_GB2312" w:cs="Times New Roman"/>
          <w:color w:val="auto"/>
          <w:sz w:val="32"/>
          <w:szCs w:val="32"/>
          <w:u w:val="none"/>
        </w:rPr>
        <w:t xml:space="preserve">（类）支出 </w:t>
      </w:r>
      <w:r>
        <w:rPr>
          <w:rFonts w:hint="eastAsia" w:ascii="Times New Roman" w:hAnsi="Times New Roman" w:eastAsia="仿宋_GB2312" w:cs="Times New Roman"/>
          <w:color w:val="auto"/>
          <w:sz w:val="32"/>
          <w:szCs w:val="32"/>
          <w:u w:val="none"/>
          <w:lang w:val="en-US" w:eastAsia="zh-CN"/>
        </w:rPr>
        <w:t>16.16</w:t>
      </w:r>
      <w:r>
        <w:rPr>
          <w:rFonts w:ascii="Times New Roman" w:hAnsi="Times New Roman" w:eastAsia="仿宋_GB2312" w:cs="Times New Roman"/>
          <w:color w:val="auto"/>
          <w:sz w:val="32"/>
          <w:szCs w:val="32"/>
          <w:u w:val="none"/>
        </w:rPr>
        <w:t xml:space="preserve"> 万元，占 </w:t>
      </w:r>
      <w:r>
        <w:rPr>
          <w:rFonts w:hint="eastAsia" w:ascii="Times New Roman" w:hAnsi="Times New Roman" w:eastAsia="仿宋_GB2312" w:cs="Times New Roman"/>
          <w:color w:val="auto"/>
          <w:sz w:val="32"/>
          <w:szCs w:val="32"/>
          <w:u w:val="none"/>
          <w:lang w:val="en-US" w:eastAsia="zh-CN"/>
        </w:rPr>
        <w:t xml:space="preserve">0.83 </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，城乡社区支出</w:t>
      </w:r>
      <w:r>
        <w:rPr>
          <w:rFonts w:ascii="Times New Roman" w:hAnsi="Times New Roman" w:eastAsia="仿宋_GB2312" w:cs="Times New Roman"/>
          <w:color w:val="auto"/>
          <w:sz w:val="32"/>
          <w:szCs w:val="32"/>
          <w:u w:val="none"/>
        </w:rPr>
        <w:t xml:space="preserve">（类）支出 </w:t>
      </w:r>
      <w:r>
        <w:rPr>
          <w:rFonts w:hint="eastAsia" w:ascii="Times New Roman" w:hAnsi="Times New Roman" w:eastAsia="仿宋_GB2312" w:cs="Times New Roman"/>
          <w:color w:val="auto"/>
          <w:sz w:val="32"/>
          <w:szCs w:val="32"/>
          <w:u w:val="none"/>
          <w:lang w:val="en-US" w:eastAsia="zh-CN"/>
        </w:rPr>
        <w:t>841.56</w:t>
      </w:r>
      <w:r>
        <w:rPr>
          <w:rFonts w:ascii="Times New Roman" w:hAnsi="Times New Roman" w:eastAsia="仿宋_GB2312" w:cs="Times New Roman"/>
          <w:color w:val="auto"/>
          <w:sz w:val="32"/>
          <w:szCs w:val="32"/>
          <w:u w:val="none"/>
        </w:rPr>
        <w:t xml:space="preserve">  万元，占 </w:t>
      </w:r>
      <w:r>
        <w:rPr>
          <w:rFonts w:hint="eastAsia" w:ascii="Times New Roman" w:hAnsi="Times New Roman" w:eastAsia="仿宋_GB2312" w:cs="Times New Roman"/>
          <w:color w:val="auto"/>
          <w:sz w:val="32"/>
          <w:szCs w:val="32"/>
          <w:u w:val="none"/>
          <w:lang w:val="en-US" w:eastAsia="zh-CN"/>
        </w:rPr>
        <w:t xml:space="preserve">42.90  </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w:t>
      </w:r>
    </w:p>
    <w:p w14:paraId="0700C22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u w:val="none"/>
        </w:rPr>
      </w:pPr>
      <w:r>
        <w:rPr>
          <w:rFonts w:ascii="Times New Roman" w:hAnsi="Times New Roman" w:eastAsia="楷体_GB2312" w:cs="Times New Roman"/>
          <w:b/>
          <w:sz w:val="32"/>
          <w:szCs w:val="32"/>
          <w:highlight w:val="none"/>
          <w:u w:val="none"/>
        </w:rPr>
        <w:t>（三）一般公共预算财政拨款支出决算具体情况</w:t>
      </w:r>
    </w:p>
    <w:p w14:paraId="73954BB0">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u w:val="none"/>
        </w:rPr>
      </w:pPr>
      <w:r>
        <w:rPr>
          <w:rFonts w:ascii="Times New Roman" w:hAnsi="Times New Roman" w:eastAsia="仿宋_GB2312" w:cs="Times New Roman"/>
          <w:sz w:val="32"/>
          <w:szCs w:val="32"/>
          <w:highlight w:val="none"/>
          <w:u w:val="none"/>
        </w:rPr>
        <w:t>202</w:t>
      </w:r>
      <w:r>
        <w:rPr>
          <w:rFonts w:hint="eastAsia" w:ascii="Times New Roman" w:hAnsi="Times New Roman" w:eastAsia="仿宋_GB2312" w:cs="Times New Roman"/>
          <w:sz w:val="32"/>
          <w:szCs w:val="32"/>
          <w:highlight w:val="none"/>
          <w:u w:val="none"/>
          <w:lang w:val="en-US" w:eastAsia="zh-CN"/>
        </w:rPr>
        <w:t>5</w:t>
      </w:r>
      <w:r>
        <w:rPr>
          <w:rFonts w:ascii="Times New Roman" w:hAnsi="Times New Roman" w:eastAsia="仿宋_GB2312" w:cs="Times New Roman"/>
          <w:sz w:val="32"/>
          <w:szCs w:val="32"/>
          <w:highlight w:val="none"/>
          <w:u w:val="none"/>
        </w:rPr>
        <w:t>年度财政拨款支出年初预算数为</w:t>
      </w:r>
      <w:r>
        <w:rPr>
          <w:rFonts w:hint="eastAsia" w:ascii="Times New Roman" w:hAnsi="Times New Roman" w:eastAsia="仿宋_GB2312" w:cs="Times New Roman"/>
          <w:sz w:val="32"/>
          <w:szCs w:val="32"/>
          <w:highlight w:val="none"/>
          <w:u w:val="none"/>
          <w:lang w:val="en-US" w:eastAsia="zh-CN"/>
        </w:rPr>
        <w:t>1066.03</w:t>
      </w:r>
      <w:r>
        <w:rPr>
          <w:rFonts w:ascii="Times New Roman" w:hAnsi="Times New Roman" w:eastAsia="仿宋_GB2312" w:cs="Times New Roman"/>
          <w:sz w:val="32"/>
          <w:szCs w:val="32"/>
          <w:highlight w:val="none"/>
          <w:u w:val="none"/>
        </w:rPr>
        <w:t>万元，支出决算数为</w:t>
      </w:r>
      <w:r>
        <w:rPr>
          <w:rFonts w:hint="eastAsia" w:ascii="Times New Roman" w:hAnsi="Times New Roman" w:eastAsia="仿宋_GB2312" w:cs="Times New Roman"/>
          <w:sz w:val="32"/>
          <w:szCs w:val="32"/>
          <w:highlight w:val="none"/>
          <w:u w:val="none"/>
          <w:lang w:val="en-US" w:eastAsia="zh-CN"/>
        </w:rPr>
        <w:t>1961.56</w:t>
      </w:r>
      <w:r>
        <w:rPr>
          <w:rFonts w:ascii="Times New Roman" w:hAnsi="Times New Roman" w:eastAsia="仿宋_GB2312" w:cs="Times New Roman"/>
          <w:sz w:val="32"/>
          <w:szCs w:val="32"/>
          <w:highlight w:val="none"/>
          <w:u w:val="none"/>
        </w:rPr>
        <w:t>万元，完成年初预算的</w:t>
      </w:r>
      <w:r>
        <w:rPr>
          <w:rFonts w:hint="eastAsia" w:ascii="Times New Roman" w:hAnsi="Times New Roman" w:eastAsia="仿宋_GB2312" w:cs="Times New Roman"/>
          <w:sz w:val="32"/>
          <w:szCs w:val="32"/>
          <w:highlight w:val="none"/>
          <w:u w:val="none"/>
          <w:lang w:val="en-US" w:eastAsia="zh-CN"/>
        </w:rPr>
        <w:t>184.01</w:t>
      </w:r>
      <w:r>
        <w:rPr>
          <w:rFonts w:ascii="Times New Roman" w:hAnsi="Times New Roman" w:eastAsia="仿宋_GB2312" w:cs="Times New Roman"/>
          <w:sz w:val="32"/>
          <w:szCs w:val="32"/>
          <w:highlight w:val="none"/>
          <w:u w:val="none"/>
        </w:rPr>
        <w:t>%，其中：</w:t>
      </w:r>
    </w:p>
    <w:p w14:paraId="0B1ACA6E">
      <w:pPr>
        <w:pStyle w:val="14"/>
        <w:spacing w:line="600" w:lineRule="exact"/>
        <w:ind w:firstLine="640" w:firstLineChars="200"/>
        <w:rPr>
          <w:rFonts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1、一般公共服务</w:t>
      </w:r>
      <w:r>
        <w:rPr>
          <w:rFonts w:hint="eastAsia" w:ascii="Times New Roman" w:hAnsi="Times New Roman" w:eastAsia="仿宋_GB2312" w:cs="Times New Roman"/>
          <w:color w:val="auto"/>
          <w:sz w:val="32"/>
          <w:szCs w:val="32"/>
          <w:highlight w:val="none"/>
          <w:u w:val="none"/>
        </w:rPr>
        <w:t>201</w:t>
      </w:r>
      <w:r>
        <w:rPr>
          <w:rFonts w:ascii="Times New Roman" w:hAnsi="Times New Roman" w:eastAsia="仿宋_GB2312" w:cs="Times New Roman"/>
          <w:color w:val="auto"/>
          <w:sz w:val="32"/>
          <w:szCs w:val="32"/>
          <w:highlight w:val="none"/>
          <w:u w:val="none"/>
        </w:rPr>
        <w:t>（类）</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政府办公厅及相关机构事务20103（款）行政运2013801（项）</w:t>
      </w:r>
      <w:r>
        <w:rPr>
          <w:rFonts w:hint="eastAsia" w:ascii="Times New Roman" w:hAnsi="Times New Roman" w:eastAsia="仿宋_GB2312" w:cs="Times New Roman"/>
          <w:color w:val="auto"/>
          <w:sz w:val="32"/>
          <w:szCs w:val="32"/>
          <w:highlight w:val="none"/>
          <w:u w:val="none"/>
        </w:rPr>
        <w:t>事业运2013850</w:t>
      </w:r>
      <w:r>
        <w:rPr>
          <w:rFonts w:ascii="Times New Roman" w:hAnsi="Times New Roman" w:eastAsia="仿宋_GB2312" w:cs="Times New Roman"/>
          <w:color w:val="auto"/>
          <w:sz w:val="32"/>
          <w:szCs w:val="32"/>
          <w:highlight w:val="none"/>
          <w:u w:val="none"/>
        </w:rPr>
        <w:t>（项）</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其他一般公共服务支出20199（款）其他一般公共服务支出2019999（项）</w:t>
      </w:r>
      <w:r>
        <w:rPr>
          <w:rFonts w:ascii="Times New Roman" w:hAnsi="Times New Roman" w:eastAsia="仿宋_GB2312" w:cs="Times New Roman"/>
          <w:color w:val="auto"/>
          <w:sz w:val="32"/>
          <w:szCs w:val="32"/>
          <w:highlight w:val="none"/>
          <w:u w:val="none"/>
        </w:rPr>
        <w:t>。</w:t>
      </w:r>
    </w:p>
    <w:p w14:paraId="711B44EB">
      <w:pPr>
        <w:pStyle w:val="14"/>
        <w:spacing w:line="600" w:lineRule="exact"/>
        <w:ind w:firstLine="640" w:firstLineChars="200"/>
        <w:rPr>
          <w:rFonts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 xml:space="preserve">年初预算为 </w:t>
      </w:r>
      <w:r>
        <w:rPr>
          <w:rFonts w:hint="eastAsia" w:ascii="Times New Roman" w:hAnsi="Times New Roman" w:eastAsia="仿宋_GB2312" w:cs="Times New Roman"/>
          <w:color w:val="auto"/>
          <w:sz w:val="32"/>
          <w:szCs w:val="32"/>
          <w:highlight w:val="none"/>
          <w:u w:val="none"/>
          <w:lang w:val="en-US" w:eastAsia="zh-CN"/>
        </w:rPr>
        <w:t>902.70</w:t>
      </w:r>
      <w:r>
        <w:rPr>
          <w:rFonts w:ascii="Times New Roman" w:hAnsi="Times New Roman" w:eastAsia="仿宋_GB2312" w:cs="Times New Roman"/>
          <w:color w:val="auto"/>
          <w:sz w:val="32"/>
          <w:szCs w:val="32"/>
          <w:highlight w:val="none"/>
          <w:u w:val="none"/>
        </w:rPr>
        <w:t xml:space="preserve">  万元，支出决算为</w:t>
      </w:r>
      <w:r>
        <w:rPr>
          <w:rFonts w:hint="eastAsia" w:ascii="Times New Roman" w:hAnsi="Times New Roman" w:eastAsia="仿宋_GB2312" w:cs="Times New Roman"/>
          <w:color w:val="auto"/>
          <w:sz w:val="32"/>
          <w:szCs w:val="32"/>
          <w:highlight w:val="none"/>
          <w:u w:val="none"/>
          <w:lang w:val="en-US" w:eastAsia="zh-CN"/>
        </w:rPr>
        <w:t>1103.84</w:t>
      </w:r>
      <w:r>
        <w:rPr>
          <w:rFonts w:ascii="Times New Roman" w:hAnsi="Times New Roman" w:eastAsia="仿宋_GB2312" w:cs="Times New Roman"/>
          <w:color w:val="auto"/>
          <w:sz w:val="32"/>
          <w:szCs w:val="32"/>
          <w:highlight w:val="none"/>
          <w:u w:val="none"/>
        </w:rPr>
        <w:t xml:space="preserve"> 万元，完成年初预算的 </w:t>
      </w:r>
      <w:r>
        <w:rPr>
          <w:rFonts w:hint="eastAsia" w:ascii="Times New Roman" w:hAnsi="Times New Roman" w:eastAsia="仿宋_GB2312" w:cs="Times New Roman"/>
          <w:color w:val="auto"/>
          <w:sz w:val="32"/>
          <w:szCs w:val="32"/>
          <w:highlight w:val="none"/>
          <w:u w:val="none"/>
          <w:lang w:val="en-US" w:eastAsia="zh-CN"/>
        </w:rPr>
        <w:t>122.28</w:t>
      </w:r>
      <w:r>
        <w:rPr>
          <w:rFonts w:ascii="Times New Roman" w:hAnsi="Times New Roman" w:eastAsia="仿宋_GB2312" w:cs="Times New Roman"/>
          <w:color w:val="auto"/>
          <w:sz w:val="32"/>
          <w:szCs w:val="32"/>
          <w:highlight w:val="none"/>
          <w:u w:val="none"/>
        </w:rPr>
        <w:t xml:space="preserve">  %，决算数大于年初预算数的主要原因是：年初预算</w:t>
      </w:r>
      <w:r>
        <w:rPr>
          <w:rFonts w:hint="eastAsia" w:ascii="Times New Roman" w:hAnsi="Times New Roman" w:eastAsia="仿宋_GB2312" w:cs="Times New Roman"/>
          <w:color w:val="auto"/>
          <w:sz w:val="32"/>
          <w:szCs w:val="32"/>
          <w:highlight w:val="none"/>
          <w:u w:val="none"/>
          <w:lang w:val="en-US" w:eastAsia="zh-CN"/>
        </w:rPr>
        <w:t>只包含单位负担部分，支出决算包括单位负担部分与个人负担部分。</w:t>
      </w:r>
    </w:p>
    <w:p w14:paraId="74E0F941">
      <w:pPr>
        <w:pStyle w:val="14"/>
        <w:spacing w:line="600" w:lineRule="exact"/>
        <w:ind w:firstLine="640" w:firstLineChars="200"/>
        <w:rPr>
          <w:rFonts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2、</w:t>
      </w:r>
      <w:r>
        <w:rPr>
          <w:rFonts w:hint="eastAsia" w:ascii="Times New Roman" w:hAnsi="Times New Roman" w:eastAsia="仿宋_GB2312" w:cs="Times New Roman"/>
          <w:color w:val="auto"/>
          <w:sz w:val="32"/>
          <w:szCs w:val="32"/>
          <w:highlight w:val="none"/>
          <w:u w:val="none"/>
        </w:rPr>
        <w:t>社会保障和就业支出</w:t>
      </w:r>
      <w:r>
        <w:rPr>
          <w:rFonts w:hint="eastAsia" w:ascii="Times New Roman" w:hAnsi="Times New Roman" w:eastAsia="仿宋_GB2312" w:cs="Times New Roman"/>
          <w:color w:val="auto"/>
          <w:sz w:val="32"/>
          <w:szCs w:val="32"/>
          <w:highlight w:val="none"/>
          <w:u w:val="none"/>
          <w:lang w:val="en-US" w:eastAsia="zh-CN"/>
        </w:rPr>
        <w:t>208</w:t>
      </w:r>
      <w:r>
        <w:rPr>
          <w:rFonts w:ascii="Times New Roman" w:hAnsi="Times New Roman" w:eastAsia="仿宋_GB2312" w:cs="Times New Roman"/>
          <w:color w:val="auto"/>
          <w:sz w:val="32"/>
          <w:szCs w:val="32"/>
          <w:highlight w:val="none"/>
          <w:u w:val="none"/>
        </w:rPr>
        <w:t>（类）</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抚恤20808（款）</w:t>
      </w:r>
      <w:r>
        <w:rPr>
          <w:rFonts w:hint="eastAsia" w:ascii="Times New Roman" w:hAnsi="Times New Roman" w:eastAsia="仿宋_GB2312" w:cs="Times New Roman"/>
          <w:color w:val="auto"/>
          <w:sz w:val="32"/>
          <w:szCs w:val="32"/>
          <w:highlight w:val="none"/>
          <w:u w:val="none"/>
          <w:lang w:eastAsia="zh-CN"/>
        </w:rPr>
        <w:t>死亡抚恤</w:t>
      </w:r>
      <w:r>
        <w:rPr>
          <w:rFonts w:hint="eastAsia" w:ascii="Times New Roman" w:hAnsi="Times New Roman" w:eastAsia="仿宋_GB2312" w:cs="Times New Roman"/>
          <w:color w:val="auto"/>
          <w:sz w:val="32"/>
          <w:szCs w:val="32"/>
          <w:highlight w:val="none"/>
          <w:u w:val="none"/>
        </w:rPr>
        <w:t>支出</w:t>
      </w:r>
      <w:r>
        <w:rPr>
          <w:rFonts w:hint="eastAsia" w:ascii="Times New Roman" w:hAnsi="Times New Roman" w:eastAsia="仿宋_GB2312" w:cs="Times New Roman"/>
          <w:color w:val="auto"/>
          <w:sz w:val="32"/>
          <w:szCs w:val="32"/>
          <w:highlight w:val="none"/>
          <w:u w:val="none"/>
          <w:lang w:val="en-US" w:eastAsia="zh-CN"/>
        </w:rPr>
        <w:t>2080801</w:t>
      </w:r>
      <w:r>
        <w:rPr>
          <w:rFonts w:ascii="Times New Roman" w:hAnsi="Times New Roman" w:eastAsia="仿宋_GB2312" w:cs="Times New Roman"/>
          <w:color w:val="auto"/>
          <w:sz w:val="32"/>
          <w:szCs w:val="32"/>
          <w:highlight w:val="none"/>
          <w:u w:val="none"/>
        </w:rPr>
        <w:t>（项）。</w:t>
      </w:r>
    </w:p>
    <w:p w14:paraId="462E7B7E">
      <w:pPr>
        <w:pStyle w:val="14"/>
        <w:spacing w:line="60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ascii="Times New Roman" w:hAnsi="Times New Roman" w:eastAsia="仿宋_GB2312" w:cs="Times New Roman"/>
          <w:color w:val="auto"/>
          <w:sz w:val="32"/>
          <w:szCs w:val="32"/>
          <w:highlight w:val="none"/>
          <w:u w:val="none"/>
        </w:rPr>
        <w:t xml:space="preserve">年初预算为 </w:t>
      </w:r>
      <w:r>
        <w:rPr>
          <w:rFonts w:hint="eastAsia" w:ascii="Times New Roman" w:hAnsi="Times New Roman" w:eastAsia="仿宋_GB2312" w:cs="Times New Roman"/>
          <w:color w:val="auto"/>
          <w:sz w:val="32"/>
          <w:szCs w:val="32"/>
          <w:highlight w:val="none"/>
          <w:u w:val="none"/>
          <w:lang w:val="en-US" w:eastAsia="zh-CN"/>
        </w:rPr>
        <w:t>76.91</w:t>
      </w:r>
      <w:r>
        <w:rPr>
          <w:rFonts w:ascii="Times New Roman" w:hAnsi="Times New Roman" w:eastAsia="仿宋_GB2312" w:cs="Times New Roman"/>
          <w:color w:val="auto"/>
          <w:sz w:val="32"/>
          <w:szCs w:val="32"/>
          <w:highlight w:val="none"/>
          <w:u w:val="none"/>
        </w:rPr>
        <w:t xml:space="preserve">万元，支出决算为 </w:t>
      </w:r>
      <w:r>
        <w:rPr>
          <w:rFonts w:hint="eastAsia" w:ascii="Times New Roman" w:hAnsi="Times New Roman" w:eastAsia="仿宋_GB2312" w:cs="Times New Roman"/>
          <w:color w:val="auto"/>
          <w:sz w:val="32"/>
          <w:szCs w:val="32"/>
          <w:highlight w:val="none"/>
          <w:u w:val="none"/>
          <w:lang w:val="en-US" w:eastAsia="zh-CN"/>
        </w:rPr>
        <w:t xml:space="preserve">16.16 </w:t>
      </w:r>
      <w:r>
        <w:rPr>
          <w:rFonts w:ascii="Times New Roman" w:hAnsi="Times New Roman" w:eastAsia="仿宋_GB2312" w:cs="Times New Roman"/>
          <w:color w:val="auto"/>
          <w:sz w:val="32"/>
          <w:szCs w:val="32"/>
          <w:highlight w:val="none"/>
          <w:u w:val="none"/>
        </w:rPr>
        <w:t xml:space="preserve"> 万元，完成年初预算的 </w:t>
      </w:r>
      <w:r>
        <w:rPr>
          <w:rFonts w:hint="eastAsia" w:ascii="Times New Roman" w:hAnsi="Times New Roman" w:eastAsia="仿宋_GB2312" w:cs="Times New Roman"/>
          <w:color w:val="auto"/>
          <w:sz w:val="32"/>
          <w:szCs w:val="32"/>
          <w:highlight w:val="none"/>
          <w:u w:val="none"/>
          <w:lang w:val="en-US" w:eastAsia="zh-CN"/>
        </w:rPr>
        <w:t>21.01</w:t>
      </w:r>
      <w:r>
        <w:rPr>
          <w:rFonts w:ascii="Times New Roman" w:hAnsi="Times New Roman" w:eastAsia="仿宋_GB2312" w:cs="Times New Roman"/>
          <w:color w:val="auto"/>
          <w:sz w:val="32"/>
          <w:szCs w:val="32"/>
          <w:highlight w:val="none"/>
          <w:u w:val="none"/>
        </w:rPr>
        <w:t xml:space="preserve"> %，决算数</w:t>
      </w:r>
      <w:r>
        <w:rPr>
          <w:rFonts w:hint="eastAsia" w:ascii="Times New Roman" w:hAnsi="Times New Roman" w:eastAsia="仿宋_GB2312" w:cs="Times New Roman"/>
          <w:color w:val="auto"/>
          <w:sz w:val="32"/>
          <w:szCs w:val="32"/>
          <w:highlight w:val="none"/>
          <w:u w:val="none"/>
          <w:lang w:eastAsia="zh-CN"/>
        </w:rPr>
        <w:t>小于</w:t>
      </w:r>
      <w:r>
        <w:rPr>
          <w:rFonts w:ascii="Times New Roman" w:hAnsi="Times New Roman" w:eastAsia="仿宋_GB2312" w:cs="Times New Roman"/>
          <w:color w:val="auto"/>
          <w:sz w:val="32"/>
          <w:szCs w:val="32"/>
          <w:highlight w:val="none"/>
          <w:u w:val="none"/>
        </w:rPr>
        <w:t>年初预算数的主要原因是：年初预算</w:t>
      </w:r>
      <w:r>
        <w:rPr>
          <w:rFonts w:hint="eastAsia" w:ascii="Times New Roman" w:hAnsi="Times New Roman" w:eastAsia="仿宋_GB2312" w:cs="Times New Roman"/>
          <w:color w:val="auto"/>
          <w:sz w:val="32"/>
          <w:szCs w:val="32"/>
          <w:highlight w:val="none"/>
          <w:u w:val="none"/>
          <w:lang w:val="en-US" w:eastAsia="zh-CN"/>
        </w:rPr>
        <w:t>只包含单位负担部分，支出决算包括单位负担部分与个人负担部分。</w:t>
      </w:r>
    </w:p>
    <w:p w14:paraId="06FF6394">
      <w:pPr>
        <w:pStyle w:val="14"/>
        <w:spacing w:line="600" w:lineRule="exact"/>
        <w:ind w:firstLine="640" w:firstLineChars="200"/>
        <w:rPr>
          <w:rFonts w:hint="eastAsia" w:ascii="Times New Roman" w:hAnsi="Times New Roman" w:eastAsia="仿宋_GB2312" w:cs="Times New Roman"/>
          <w:color w:val="auto"/>
          <w:sz w:val="32"/>
          <w:szCs w:val="32"/>
          <w:highlight w:val="none"/>
          <w:u w:val="none"/>
          <w:lang w:eastAsia="zh-CN"/>
        </w:rPr>
      </w:pPr>
      <w:r>
        <w:rPr>
          <w:rFonts w:hint="eastAsia" w:ascii="Times New Roman" w:hAnsi="Times New Roman" w:eastAsia="仿宋_GB2312" w:cs="Times New Roman"/>
          <w:color w:val="auto"/>
          <w:sz w:val="32"/>
          <w:szCs w:val="32"/>
          <w:highlight w:val="none"/>
          <w:u w:val="none"/>
          <w:lang w:val="en-US" w:eastAsia="zh-CN"/>
        </w:rPr>
        <w:t>3、</w:t>
      </w:r>
      <w:r>
        <w:rPr>
          <w:rFonts w:hint="eastAsia" w:ascii="Times New Roman" w:hAnsi="Times New Roman" w:eastAsia="仿宋_GB2312" w:cs="Times New Roman"/>
          <w:color w:val="auto"/>
          <w:sz w:val="32"/>
          <w:szCs w:val="32"/>
          <w:highlight w:val="none"/>
          <w:u w:val="none"/>
        </w:rPr>
        <w:t>卫生健康支出210</w:t>
      </w:r>
      <w:r>
        <w:rPr>
          <w:rFonts w:ascii="Times New Roman" w:hAnsi="Times New Roman" w:eastAsia="仿宋_GB2312" w:cs="Times New Roman"/>
          <w:color w:val="auto"/>
          <w:sz w:val="32"/>
          <w:szCs w:val="32"/>
          <w:highlight w:val="none"/>
          <w:u w:val="none"/>
        </w:rPr>
        <w:t>（类）</w:t>
      </w:r>
      <w:r>
        <w:rPr>
          <w:rFonts w:hint="eastAsia" w:ascii="Times New Roman" w:hAnsi="Times New Roman" w:eastAsia="仿宋_GB2312" w:cs="Times New Roman"/>
          <w:color w:val="auto"/>
          <w:sz w:val="32"/>
          <w:szCs w:val="32"/>
          <w:highlight w:val="none"/>
          <w:u w:val="none"/>
          <w:lang w:eastAsia="zh-CN"/>
        </w:rPr>
        <w:t>。</w:t>
      </w:r>
    </w:p>
    <w:p w14:paraId="601FD525">
      <w:pPr>
        <w:pStyle w:val="14"/>
        <w:spacing w:line="600" w:lineRule="exact"/>
        <w:ind w:firstLine="640" w:firstLineChars="200"/>
        <w:rPr>
          <w:rFonts w:hint="eastAsia" w:ascii="Times New Roman" w:hAnsi="Times New Roman" w:eastAsia="仿宋_GB2312" w:cs="Times New Roman"/>
          <w:color w:val="auto"/>
          <w:sz w:val="32"/>
          <w:szCs w:val="32"/>
          <w:highlight w:val="none"/>
          <w:u w:val="none"/>
          <w:lang w:val="en-US" w:eastAsia="zh-CN"/>
        </w:rPr>
      </w:pPr>
      <w:r>
        <w:rPr>
          <w:rFonts w:ascii="Times New Roman" w:hAnsi="Times New Roman" w:eastAsia="仿宋_GB2312" w:cs="Times New Roman"/>
          <w:color w:val="auto"/>
          <w:sz w:val="32"/>
          <w:szCs w:val="32"/>
          <w:highlight w:val="none"/>
          <w:u w:val="none"/>
        </w:rPr>
        <w:t xml:space="preserve">年初预算为 </w:t>
      </w:r>
      <w:r>
        <w:rPr>
          <w:rFonts w:hint="eastAsia" w:ascii="Times New Roman" w:hAnsi="Times New Roman" w:eastAsia="仿宋_GB2312" w:cs="Times New Roman"/>
          <w:color w:val="auto"/>
          <w:sz w:val="32"/>
          <w:szCs w:val="32"/>
          <w:highlight w:val="none"/>
          <w:u w:val="none"/>
          <w:lang w:val="en-US" w:eastAsia="zh-CN"/>
        </w:rPr>
        <w:t>36.32</w:t>
      </w:r>
      <w:r>
        <w:rPr>
          <w:rFonts w:ascii="Times New Roman" w:hAnsi="Times New Roman" w:eastAsia="仿宋_GB2312" w:cs="Times New Roman"/>
          <w:color w:val="auto"/>
          <w:sz w:val="32"/>
          <w:szCs w:val="32"/>
          <w:highlight w:val="none"/>
          <w:u w:val="none"/>
        </w:rPr>
        <w:t xml:space="preserve"> 万元，支出决算为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万元，完成年初预算的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%，决算数小于年初预算数的主要原因是：年初预算</w:t>
      </w:r>
      <w:r>
        <w:rPr>
          <w:rFonts w:hint="eastAsia" w:ascii="Times New Roman" w:hAnsi="Times New Roman" w:eastAsia="仿宋_GB2312" w:cs="Times New Roman"/>
          <w:color w:val="auto"/>
          <w:sz w:val="32"/>
          <w:szCs w:val="32"/>
          <w:highlight w:val="none"/>
          <w:u w:val="none"/>
          <w:lang w:val="en-US" w:eastAsia="zh-CN"/>
        </w:rPr>
        <w:t>只包含单位负担部分，支出决算包括单位负担部分与个人负担部分。</w:t>
      </w:r>
    </w:p>
    <w:p w14:paraId="7E2594F8">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4、住房保障支出221</w:t>
      </w:r>
      <w:r>
        <w:rPr>
          <w:rFonts w:ascii="Times New Roman" w:hAnsi="Times New Roman" w:eastAsia="仿宋_GB2312" w:cs="Times New Roman"/>
          <w:color w:val="auto"/>
          <w:sz w:val="32"/>
          <w:szCs w:val="32"/>
          <w:highlight w:val="none"/>
          <w:u w:val="none"/>
        </w:rPr>
        <w:t>（类）</w:t>
      </w:r>
      <w:r>
        <w:rPr>
          <w:rFonts w:hint="eastAsia" w:ascii="Times New Roman" w:hAnsi="Times New Roman" w:eastAsia="仿宋_GB2312" w:cs="Times New Roman"/>
          <w:color w:val="auto"/>
          <w:sz w:val="32"/>
          <w:szCs w:val="32"/>
          <w:highlight w:val="none"/>
          <w:u w:val="none"/>
          <w:lang w:eastAsia="zh-CN"/>
        </w:rPr>
        <w:t>。</w:t>
      </w:r>
    </w:p>
    <w:p w14:paraId="3AD15F48">
      <w:pPr>
        <w:pStyle w:val="14"/>
        <w:spacing w:line="600" w:lineRule="exact"/>
        <w:ind w:firstLine="640" w:firstLineChars="200"/>
        <w:rPr>
          <w:rFonts w:hint="eastAsia" w:ascii="Times New Roman" w:hAnsi="Times New Roman" w:eastAsia="仿宋_GB2312" w:cs="Times New Roman"/>
          <w:color w:val="auto"/>
          <w:sz w:val="32"/>
          <w:szCs w:val="32"/>
          <w:highlight w:val="none"/>
          <w:u w:val="none"/>
          <w:lang w:val="en-US" w:eastAsia="zh-CN"/>
        </w:rPr>
      </w:pPr>
      <w:r>
        <w:rPr>
          <w:rFonts w:ascii="Times New Roman" w:hAnsi="Times New Roman" w:eastAsia="仿宋_GB2312" w:cs="Times New Roman"/>
          <w:color w:val="auto"/>
          <w:sz w:val="32"/>
          <w:szCs w:val="32"/>
          <w:highlight w:val="none"/>
          <w:u w:val="none"/>
        </w:rPr>
        <w:t xml:space="preserve">年初预算为 </w:t>
      </w:r>
      <w:r>
        <w:rPr>
          <w:rFonts w:hint="eastAsia" w:ascii="Times New Roman" w:hAnsi="Times New Roman" w:eastAsia="仿宋_GB2312" w:cs="Times New Roman"/>
          <w:color w:val="auto"/>
          <w:sz w:val="32"/>
          <w:szCs w:val="32"/>
          <w:highlight w:val="none"/>
          <w:u w:val="none"/>
          <w:lang w:val="en-US" w:eastAsia="zh-CN"/>
        </w:rPr>
        <w:t>50.10</w:t>
      </w:r>
      <w:r>
        <w:rPr>
          <w:rFonts w:ascii="Times New Roman" w:hAnsi="Times New Roman" w:eastAsia="仿宋_GB2312" w:cs="Times New Roman"/>
          <w:color w:val="auto"/>
          <w:sz w:val="32"/>
          <w:szCs w:val="32"/>
          <w:highlight w:val="none"/>
          <w:u w:val="none"/>
        </w:rPr>
        <w:t xml:space="preserve"> 万元，支出决算为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万元，完成年初预算的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%，决算数小于年初预算数的主要原因是：</w:t>
      </w:r>
      <w:r>
        <w:rPr>
          <w:rFonts w:hint="eastAsia" w:ascii="Times New Roman" w:hAnsi="Times New Roman" w:eastAsia="仿宋_GB2312" w:cs="Times New Roman"/>
          <w:color w:val="auto"/>
          <w:sz w:val="32"/>
          <w:szCs w:val="32"/>
          <w:highlight w:val="none"/>
          <w:u w:val="none"/>
          <w:lang w:val="en-US" w:eastAsia="zh-CN"/>
        </w:rPr>
        <w:t>因单位人员异动造成。</w:t>
      </w:r>
    </w:p>
    <w:p w14:paraId="24D2A0CE">
      <w:pPr>
        <w:pStyle w:val="14"/>
        <w:spacing w:line="600" w:lineRule="exact"/>
        <w:ind w:firstLine="640" w:firstLineChars="200"/>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5、城镇社区支出212（类），城乡社区管理事务21201（款）其他城乡社区管理事务支出2120199（项），城乡社区规划与管理21202（款）城乡社区规划与管理2120201（项），城乡社区公共设施21203（款）小城镇基础设施建设2120303（项），征地和拆迁补偿2120801（项）。</w:t>
      </w:r>
    </w:p>
    <w:p w14:paraId="0ED5D054">
      <w:pPr>
        <w:pStyle w:val="14"/>
        <w:spacing w:line="600" w:lineRule="exact"/>
        <w:ind w:firstLine="640" w:firstLineChars="200"/>
        <w:rPr>
          <w:rFonts w:ascii="Times New Roman" w:hAnsi="Times New Roman" w:eastAsia="仿宋_GB2312" w:cs="Times New Roman"/>
          <w:sz w:val="32"/>
          <w:szCs w:val="32"/>
          <w:highlight w:val="none"/>
          <w:u w:val="none"/>
        </w:rPr>
      </w:pPr>
      <w:r>
        <w:rPr>
          <w:rFonts w:hint="eastAsia" w:ascii="Times New Roman" w:hAnsi="Times New Roman" w:eastAsia="仿宋_GB2312" w:cs="Times New Roman"/>
          <w:color w:val="auto"/>
          <w:sz w:val="32"/>
          <w:szCs w:val="32"/>
          <w:highlight w:val="none"/>
          <w:u w:val="none"/>
          <w:lang w:val="en-US" w:eastAsia="zh-CN"/>
        </w:rPr>
        <w:t>年初预算为 0 万元，支出决算为841.56万元，决算数大于年初预算数的主要原因是：较往年增加支付支付原塔峰一市场（湘南边贸城）拆建奖补资金800 万元</w:t>
      </w:r>
      <w:r>
        <w:rPr>
          <w:rFonts w:hint="eastAsia" w:ascii="Times New Roman" w:hAnsi="Times New Roman" w:eastAsia="仿宋_GB2312" w:cs="Times New Roman"/>
          <w:color w:val="auto"/>
          <w:sz w:val="32"/>
          <w:szCs w:val="32"/>
          <w:highlight w:val="none"/>
          <w:u w:val="none"/>
        </w:rPr>
        <w:t>。</w:t>
      </w:r>
    </w:p>
    <w:p w14:paraId="02C1171F">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六、一般公共预算财政拨款基本支出决算情况说明</w:t>
      </w:r>
    </w:p>
    <w:p w14:paraId="5B270592">
      <w:pPr>
        <w:pStyle w:val="14"/>
        <w:overflowPunct w:val="0"/>
        <w:autoSpaceDE/>
        <w:autoSpaceDN/>
        <w:spacing w:line="600" w:lineRule="exact"/>
        <w:ind w:firstLine="640" w:firstLineChars="200"/>
        <w:jc w:val="both"/>
        <w:rPr>
          <w:rFonts w:ascii="Times New Roman" w:hAnsi="Times New Roman" w:eastAsia="仿宋_GB2312" w:cs="Times New Roman"/>
          <w:b/>
          <w:sz w:val="32"/>
          <w:szCs w:val="32"/>
          <w:u w:val="none"/>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年度一般公共预算财政拨款基本支出</w:t>
      </w:r>
      <w:r>
        <w:rPr>
          <w:rFonts w:hint="eastAsia" w:ascii="Times New Roman" w:hAnsi="Times New Roman" w:eastAsia="仿宋_GB2312" w:cs="Times New Roman"/>
          <w:sz w:val="32"/>
          <w:szCs w:val="32"/>
          <w:u w:val="none"/>
          <w:lang w:val="en-US" w:eastAsia="zh-CN"/>
        </w:rPr>
        <w:t>1120.00</w:t>
      </w:r>
      <w:r>
        <w:rPr>
          <w:rFonts w:ascii="Times New Roman" w:hAnsi="Times New Roman" w:eastAsia="仿宋_GB2312" w:cs="Times New Roman"/>
          <w:sz w:val="32"/>
          <w:szCs w:val="32"/>
          <w:u w:val="none"/>
        </w:rPr>
        <w:t>万元，其中：</w:t>
      </w:r>
      <w:r>
        <w:rPr>
          <w:rFonts w:ascii="Times New Roman" w:hAnsi="Times New Roman" w:eastAsia="仿宋_GB2312" w:cs="Times New Roman"/>
          <w:b/>
          <w:bCs/>
          <w:sz w:val="32"/>
          <w:szCs w:val="32"/>
          <w:u w:val="none"/>
        </w:rPr>
        <w:t>人员经费</w:t>
      </w:r>
      <w:r>
        <w:rPr>
          <w:rFonts w:hint="eastAsia" w:ascii="Times New Roman" w:hAnsi="Times New Roman" w:eastAsia="仿宋_GB2312" w:cs="Times New Roman"/>
          <w:sz w:val="32"/>
          <w:szCs w:val="32"/>
          <w:u w:val="none"/>
          <w:lang w:val="en-US" w:eastAsia="zh-CN"/>
        </w:rPr>
        <w:t>682.39</w:t>
      </w:r>
      <w:r>
        <w:rPr>
          <w:rFonts w:ascii="Times New Roman" w:hAnsi="Times New Roman" w:eastAsia="仿宋_GB2312" w:cs="Times New Roman"/>
          <w:sz w:val="32"/>
          <w:szCs w:val="32"/>
          <w:u w:val="none"/>
        </w:rPr>
        <w:t>万元，占基本支出的</w:t>
      </w:r>
      <w:r>
        <w:rPr>
          <w:rFonts w:hint="eastAsia" w:ascii="Times New Roman" w:hAnsi="Times New Roman" w:eastAsia="仿宋_GB2312" w:cs="Times New Roman"/>
          <w:sz w:val="32"/>
          <w:szCs w:val="32"/>
          <w:u w:val="none"/>
          <w:lang w:val="en-US" w:eastAsia="zh-CN"/>
        </w:rPr>
        <w:t>60.93</w:t>
      </w:r>
      <w:r>
        <w:rPr>
          <w:rFonts w:ascii="Times New Roman" w:hAnsi="Times New Roman" w:eastAsia="仿宋_GB2312" w:cs="Times New Roman"/>
          <w:sz w:val="32"/>
          <w:szCs w:val="32"/>
          <w:u w:val="none"/>
        </w:rPr>
        <w:t>%,</w:t>
      </w:r>
      <w:r>
        <w:rPr>
          <w:rFonts w:ascii="Times New Roman" w:hAnsi="Times New Roman" w:eastAsia="仿宋_GB2312" w:cs="Times New Roman"/>
          <w:color w:val="auto"/>
          <w:sz w:val="32"/>
          <w:szCs w:val="32"/>
          <w:u w:val="none"/>
        </w:rPr>
        <w:t>主要包括基本工资、津贴补贴、奖金、伙食补助费</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绩效工资</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机关事业单位基本养老保险费</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职业年金缴费</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职工基本医疗保险缴费</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其他社会保障缴费</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住房公积金</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抚恤金</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生活补助</w:t>
      </w:r>
      <w:r>
        <w:rPr>
          <w:rFonts w:ascii="Times New Roman" w:hAnsi="Times New Roman" w:eastAsia="仿宋_GB2312" w:cs="Times New Roman"/>
          <w:color w:val="auto"/>
          <w:sz w:val="32"/>
          <w:szCs w:val="32"/>
          <w:u w:val="none"/>
        </w:rPr>
        <w:t xml:space="preserve">；公用经费 </w:t>
      </w:r>
      <w:r>
        <w:rPr>
          <w:rFonts w:hint="eastAsia" w:ascii="Times New Roman" w:hAnsi="Times New Roman" w:eastAsia="仿宋_GB2312" w:cs="Times New Roman"/>
          <w:color w:val="auto"/>
          <w:sz w:val="32"/>
          <w:szCs w:val="32"/>
          <w:u w:val="none"/>
          <w:lang w:val="en-US" w:eastAsia="zh-CN"/>
        </w:rPr>
        <w:t>437.61</w:t>
      </w:r>
      <w:r>
        <w:rPr>
          <w:rFonts w:ascii="Times New Roman" w:hAnsi="Times New Roman" w:eastAsia="仿宋_GB2312" w:cs="Times New Roman"/>
          <w:color w:val="auto"/>
          <w:sz w:val="32"/>
          <w:szCs w:val="32"/>
          <w:u w:val="none"/>
        </w:rPr>
        <w:t xml:space="preserve"> 万元，占基本支出的 </w:t>
      </w:r>
      <w:r>
        <w:rPr>
          <w:rFonts w:hint="eastAsia" w:ascii="Times New Roman" w:hAnsi="Times New Roman" w:eastAsia="仿宋_GB2312" w:cs="Times New Roman"/>
          <w:color w:val="auto"/>
          <w:sz w:val="32"/>
          <w:szCs w:val="32"/>
          <w:u w:val="none"/>
          <w:lang w:val="en-US" w:eastAsia="zh-CN"/>
        </w:rPr>
        <w:t xml:space="preserve">39.07 </w:t>
      </w:r>
      <w:r>
        <w:rPr>
          <w:rFonts w:ascii="Times New Roman" w:hAnsi="Times New Roman" w:eastAsia="仿宋_GB2312" w:cs="Times New Roman"/>
          <w:color w:val="auto"/>
          <w:sz w:val="32"/>
          <w:szCs w:val="32"/>
          <w:u w:val="none"/>
        </w:rPr>
        <w:t>%，主要包括办公费、</w:t>
      </w:r>
      <w:r>
        <w:rPr>
          <w:rFonts w:hint="eastAsia" w:ascii="Times New Roman" w:hAnsi="Times New Roman" w:eastAsia="仿宋_GB2312" w:cs="Times New Roman"/>
          <w:color w:val="auto"/>
          <w:sz w:val="32"/>
          <w:szCs w:val="32"/>
          <w:u w:val="none"/>
          <w:lang w:eastAsia="zh-CN"/>
        </w:rPr>
        <w:t>水费、电费、邮电费、维修（护）费、租赁费、培训费、公务接待费、劳务费、工会经费、其他交通费用、其他商品和服务支出。</w:t>
      </w:r>
    </w:p>
    <w:p w14:paraId="498E4F38">
      <w:pPr>
        <w:pStyle w:val="14"/>
        <w:overflowPunct w:val="0"/>
        <w:autoSpaceDE/>
        <w:autoSpaceDN/>
        <w:spacing w:line="600" w:lineRule="exact"/>
        <w:ind w:firstLine="640" w:firstLineChars="200"/>
        <w:jc w:val="both"/>
        <w:rPr>
          <w:rFonts w:ascii="Times New Roman" w:hAnsi="Times New Roman" w:eastAsia="仿宋_GB2312" w:cs="Times New Roman"/>
          <w:b/>
          <w:sz w:val="32"/>
          <w:szCs w:val="32"/>
          <w:u w:val="none"/>
        </w:rPr>
      </w:pPr>
      <w:r>
        <w:rPr>
          <w:rFonts w:ascii="Times New Roman" w:hAnsi="Times New Roman" w:cs="Times New Roman"/>
          <w:bCs/>
          <w:sz w:val="32"/>
          <w:szCs w:val="32"/>
          <w:u w:val="none"/>
        </w:rPr>
        <w:t>七、财政拨款“三公”经费支出决算情况说明</w:t>
      </w:r>
    </w:p>
    <w:p w14:paraId="11B18B0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u w:val="none"/>
        </w:rPr>
      </w:pPr>
      <w:r>
        <w:rPr>
          <w:rFonts w:ascii="Times New Roman" w:hAnsi="Times New Roman" w:eastAsia="楷体_GB2312" w:cs="Times New Roman"/>
          <w:b/>
          <w:sz w:val="32"/>
          <w:szCs w:val="32"/>
          <w:u w:val="none"/>
        </w:rPr>
        <w:t>（一）“三公”经费财政拨款支出决算总体情况说明</w:t>
      </w:r>
    </w:p>
    <w:p w14:paraId="289FBD02">
      <w:pPr>
        <w:keepNext w:val="0"/>
        <w:keepLines w:val="0"/>
        <w:pageBreakBefore w:val="0"/>
        <w:widowControl w:val="0"/>
        <w:numPr>
          <w:ilvl w:val="0"/>
          <w:numId w:val="0"/>
        </w:numPr>
        <w:kinsoku/>
        <w:wordWrap/>
        <w:overflowPunct/>
        <w:topLinePunct w:val="0"/>
        <w:bidi w:val="0"/>
        <w:spacing w:line="240" w:lineRule="auto"/>
        <w:ind w:left="0" w:firstLine="640" w:firstLineChars="200"/>
        <w:jc w:val="both"/>
        <w:textAlignment w:val="auto"/>
        <w:outlineLvl w:val="9"/>
        <w:rPr>
          <w:rFonts w:hint="eastAsia" w:ascii="仿宋" w:hAnsi="仿宋" w:eastAsia="仿宋" w:cs="仿宋"/>
          <w:color w:val="auto"/>
          <w:sz w:val="32"/>
          <w:szCs w:val="32"/>
          <w:highlight w:val="none"/>
          <w:u w:val="none"/>
          <w:lang w:val="en-US" w:eastAsia="zh-CN"/>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年度“三公”经费财政拨款支出预算为</w:t>
      </w:r>
      <w:r>
        <w:rPr>
          <w:rFonts w:hint="eastAsia" w:ascii="Times New Roman" w:hAnsi="Times New Roman" w:eastAsia="仿宋_GB2312" w:cs="Times New Roman"/>
          <w:sz w:val="32"/>
          <w:szCs w:val="32"/>
          <w:u w:val="none"/>
          <w:lang w:val="en-US" w:eastAsia="zh-CN"/>
        </w:rPr>
        <w:t>22.66</w:t>
      </w:r>
      <w:r>
        <w:rPr>
          <w:rFonts w:ascii="Times New Roman" w:hAnsi="Times New Roman" w:eastAsia="仿宋_GB2312" w:cs="Times New Roman"/>
          <w:sz w:val="32"/>
          <w:szCs w:val="32"/>
          <w:u w:val="none"/>
        </w:rPr>
        <w:t>万元，支出决算为</w:t>
      </w:r>
      <w:r>
        <w:rPr>
          <w:rFonts w:hint="eastAsia" w:ascii="Times New Roman" w:hAnsi="Times New Roman" w:eastAsia="仿宋_GB2312" w:cs="Times New Roman"/>
          <w:sz w:val="32"/>
          <w:szCs w:val="32"/>
          <w:u w:val="none"/>
          <w:lang w:val="en-US" w:eastAsia="zh-CN"/>
        </w:rPr>
        <w:t>3.92</w:t>
      </w:r>
      <w:r>
        <w:rPr>
          <w:rFonts w:ascii="Times New Roman" w:hAnsi="Times New Roman" w:eastAsia="仿宋_GB2312" w:cs="Times New Roman"/>
          <w:sz w:val="32"/>
          <w:szCs w:val="32"/>
          <w:u w:val="none"/>
        </w:rPr>
        <w:t>万元，完成预算的</w:t>
      </w:r>
      <w:r>
        <w:rPr>
          <w:rFonts w:hint="eastAsia" w:ascii="Times New Roman" w:hAnsi="Times New Roman" w:eastAsia="仿宋_GB2312" w:cs="Times New Roman"/>
          <w:sz w:val="32"/>
          <w:szCs w:val="32"/>
          <w:u w:val="none"/>
          <w:lang w:val="en-US" w:eastAsia="zh-CN"/>
        </w:rPr>
        <w:t>17.30</w:t>
      </w:r>
      <w:r>
        <w:rPr>
          <w:rFonts w:ascii="Times New Roman" w:hAnsi="Times New Roman" w:eastAsia="仿宋_GB2312" w:cs="Times New Roman"/>
          <w:sz w:val="32"/>
          <w:szCs w:val="32"/>
          <w:u w:val="none"/>
        </w:rPr>
        <w:t>%；与上年相比减少</w:t>
      </w:r>
      <w:r>
        <w:rPr>
          <w:rFonts w:hint="eastAsia" w:ascii="Times New Roman" w:hAnsi="Times New Roman" w:eastAsia="仿宋_GB2312" w:cs="Times New Roman"/>
          <w:sz w:val="32"/>
          <w:szCs w:val="32"/>
          <w:u w:val="none"/>
          <w:lang w:val="en-US" w:eastAsia="zh-CN"/>
        </w:rPr>
        <w:t>3.48</w:t>
      </w:r>
      <w:r>
        <w:rPr>
          <w:rFonts w:ascii="Times New Roman" w:hAnsi="Times New Roman" w:eastAsia="仿宋_GB2312" w:cs="Times New Roman"/>
          <w:sz w:val="32"/>
          <w:szCs w:val="32"/>
          <w:u w:val="none"/>
        </w:rPr>
        <w:t>万元，降低</w:t>
      </w:r>
      <w:r>
        <w:rPr>
          <w:rFonts w:hint="eastAsia" w:ascii="Times New Roman" w:hAnsi="Times New Roman" w:eastAsia="仿宋_GB2312" w:cs="Times New Roman"/>
          <w:sz w:val="32"/>
          <w:szCs w:val="32"/>
          <w:u w:val="none"/>
          <w:lang w:val="en-US" w:eastAsia="zh-CN"/>
        </w:rPr>
        <w:t>47.02</w:t>
      </w:r>
      <w:r>
        <w:rPr>
          <w:rFonts w:ascii="Times New Roman" w:hAnsi="Times New Roman" w:eastAsia="仿宋_GB2312" w:cs="Times New Roman"/>
          <w:sz w:val="32"/>
          <w:szCs w:val="32"/>
          <w:u w:val="none"/>
        </w:rPr>
        <w:t>%。决算数小于上年数的</w:t>
      </w:r>
      <w:r>
        <w:rPr>
          <w:rFonts w:hint="eastAsia" w:ascii="仿宋" w:hAnsi="仿宋" w:eastAsia="仿宋" w:cs="仿宋"/>
          <w:color w:val="auto"/>
          <w:sz w:val="32"/>
          <w:szCs w:val="32"/>
          <w:highlight w:val="none"/>
          <w:u w:val="none"/>
          <w:lang w:val="en-US" w:eastAsia="zh-CN"/>
        </w:rPr>
        <w:t>主要变动原因是单位落实中央八项规定，缩减了三公经费开支。</w:t>
      </w:r>
    </w:p>
    <w:p w14:paraId="21C6DF20">
      <w:pPr>
        <w:pStyle w:val="14"/>
        <w:spacing w:line="60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 xml:space="preserve">因公出国（境）费支出预算为 </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 xml:space="preserve">  万元，支出决算为 </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 xml:space="preserve">  万元，完成预算的 </w:t>
      </w:r>
      <w:r>
        <w:rPr>
          <w:rFonts w:hint="eastAsia" w:ascii="Times New Roman" w:hAnsi="Times New Roman" w:eastAsia="仿宋_GB2312" w:cs="Times New Roman"/>
          <w:color w:val="auto"/>
          <w:sz w:val="32"/>
          <w:szCs w:val="32"/>
          <w:u w:val="none"/>
          <w:lang w:val="en-US" w:eastAsia="zh-CN"/>
        </w:rPr>
        <w:t>100</w:t>
      </w:r>
      <w:r>
        <w:rPr>
          <w:rFonts w:ascii="Times New Roman" w:hAnsi="Times New Roman" w:eastAsia="仿宋_GB2312" w:cs="Times New Roman"/>
          <w:color w:val="auto"/>
          <w:sz w:val="32"/>
          <w:szCs w:val="32"/>
          <w:u w:val="none"/>
        </w:rPr>
        <w:t xml:space="preserve">  %，决算数</w:t>
      </w:r>
      <w:r>
        <w:rPr>
          <w:rFonts w:hint="eastAsia" w:ascii="Times New Roman" w:hAnsi="Times New Roman" w:eastAsia="仿宋_GB2312" w:cs="Times New Roman"/>
          <w:color w:val="auto"/>
          <w:sz w:val="32"/>
          <w:szCs w:val="32"/>
          <w:u w:val="none"/>
          <w:lang w:val="en-US" w:eastAsia="zh-CN"/>
        </w:rPr>
        <w:t>等于</w:t>
      </w:r>
      <w:r>
        <w:rPr>
          <w:rFonts w:ascii="Times New Roman" w:hAnsi="Times New Roman" w:eastAsia="仿宋_GB2312" w:cs="Times New Roman"/>
          <w:color w:val="auto"/>
          <w:sz w:val="32"/>
          <w:szCs w:val="32"/>
          <w:u w:val="none"/>
        </w:rPr>
        <w:t>年初预算数的主要原因是</w:t>
      </w:r>
      <w:r>
        <w:rPr>
          <w:rFonts w:hint="eastAsia" w:ascii="Times New Roman" w:hAnsi="Times New Roman" w:eastAsia="仿宋_GB2312" w:cs="Times New Roman"/>
          <w:color w:val="auto"/>
          <w:sz w:val="32"/>
          <w:szCs w:val="32"/>
          <w:u w:val="none"/>
          <w:lang w:val="en-US" w:eastAsia="zh-CN"/>
        </w:rPr>
        <w:t>本单位无</w:t>
      </w:r>
      <w:r>
        <w:rPr>
          <w:rFonts w:ascii="Times New Roman" w:hAnsi="Times New Roman" w:eastAsia="仿宋_GB2312" w:cs="Times New Roman"/>
          <w:color w:val="auto"/>
          <w:sz w:val="32"/>
          <w:szCs w:val="32"/>
          <w:u w:val="none"/>
        </w:rPr>
        <w:t>因公出国（境）费支出，与上年相比</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w:t>
      </w:r>
    </w:p>
    <w:p w14:paraId="720C7B73">
      <w:pPr>
        <w:pStyle w:val="14"/>
        <w:spacing w:line="600" w:lineRule="exact"/>
        <w:ind w:firstLine="640" w:firstLineChars="200"/>
        <w:rPr>
          <w:rFonts w:hint="eastAsia" w:ascii="仿宋" w:hAnsi="仿宋" w:eastAsia="仿宋" w:cs="仿宋"/>
          <w:color w:val="auto"/>
          <w:sz w:val="32"/>
          <w:szCs w:val="32"/>
          <w:highlight w:val="none"/>
          <w:u w:val="none"/>
          <w:lang w:val="en-US" w:eastAsia="zh-CN"/>
        </w:rPr>
      </w:pPr>
      <w:r>
        <w:rPr>
          <w:rFonts w:ascii="Times New Roman" w:hAnsi="Times New Roman" w:eastAsia="仿宋_GB2312" w:cs="Times New Roman"/>
          <w:color w:val="auto"/>
          <w:sz w:val="32"/>
          <w:szCs w:val="32"/>
          <w:highlight w:val="none"/>
          <w:u w:val="none"/>
        </w:rPr>
        <w:t xml:space="preserve">公务接待费支出预算 </w:t>
      </w:r>
      <w:r>
        <w:rPr>
          <w:rFonts w:hint="eastAsia" w:ascii="Times New Roman" w:hAnsi="Times New Roman" w:eastAsia="仿宋_GB2312" w:cs="Times New Roman"/>
          <w:color w:val="auto"/>
          <w:sz w:val="32"/>
          <w:szCs w:val="32"/>
          <w:highlight w:val="none"/>
          <w:u w:val="none"/>
          <w:lang w:val="en-US" w:eastAsia="zh-CN"/>
        </w:rPr>
        <w:t>21.66</w:t>
      </w:r>
      <w:r>
        <w:rPr>
          <w:rFonts w:ascii="Times New Roman" w:hAnsi="Times New Roman" w:eastAsia="仿宋_GB2312" w:cs="Times New Roman"/>
          <w:color w:val="auto"/>
          <w:sz w:val="32"/>
          <w:szCs w:val="32"/>
          <w:highlight w:val="none"/>
          <w:u w:val="none"/>
        </w:rPr>
        <w:t xml:space="preserve">  万元，支出决算为 </w:t>
      </w:r>
      <w:r>
        <w:rPr>
          <w:rFonts w:hint="eastAsia" w:ascii="Times New Roman" w:hAnsi="Times New Roman" w:eastAsia="仿宋_GB2312" w:cs="Times New Roman"/>
          <w:color w:val="auto"/>
          <w:sz w:val="32"/>
          <w:szCs w:val="32"/>
          <w:highlight w:val="none"/>
          <w:u w:val="none"/>
          <w:lang w:val="en-US" w:eastAsia="zh-CN"/>
        </w:rPr>
        <w:t xml:space="preserve">0 </w:t>
      </w:r>
      <w:r>
        <w:rPr>
          <w:rFonts w:ascii="Times New Roman" w:hAnsi="Times New Roman" w:eastAsia="仿宋_GB2312" w:cs="Times New Roman"/>
          <w:color w:val="auto"/>
          <w:sz w:val="32"/>
          <w:szCs w:val="32"/>
          <w:highlight w:val="none"/>
          <w:u w:val="none"/>
        </w:rPr>
        <w:t xml:space="preserve">万元，完成预算的 </w:t>
      </w:r>
      <w:r>
        <w:rPr>
          <w:rFonts w:hint="eastAsia" w:ascii="Times New Roman" w:hAnsi="Times New Roman" w:eastAsia="仿宋_GB2312" w:cs="Times New Roman"/>
          <w:color w:val="auto"/>
          <w:sz w:val="32"/>
          <w:szCs w:val="32"/>
          <w:highlight w:val="none"/>
          <w:u w:val="none"/>
          <w:lang w:val="en-US" w:eastAsia="zh-CN"/>
        </w:rPr>
        <w:t xml:space="preserve">0 </w:t>
      </w:r>
      <w:r>
        <w:rPr>
          <w:rFonts w:ascii="Times New Roman" w:hAnsi="Times New Roman" w:eastAsia="仿宋_GB2312" w:cs="Times New Roman"/>
          <w:color w:val="auto"/>
          <w:sz w:val="32"/>
          <w:szCs w:val="32"/>
          <w:highlight w:val="none"/>
          <w:u w:val="none"/>
        </w:rPr>
        <w:t xml:space="preserve"> %，决算数小于年初预算数的主要原因是</w:t>
      </w:r>
      <w:r>
        <w:rPr>
          <w:rFonts w:hint="eastAsia" w:ascii="Times New Roman" w:hAnsi="Times New Roman" w:eastAsia="仿宋_GB2312" w:cs="Times New Roman"/>
          <w:color w:val="auto"/>
          <w:sz w:val="32"/>
          <w:szCs w:val="32"/>
          <w:highlight w:val="none"/>
          <w:u w:val="none"/>
          <w:lang w:eastAsia="zh-CN"/>
        </w:rPr>
        <w:t>落实基层单位零招待的新政策，</w:t>
      </w:r>
      <w:r>
        <w:rPr>
          <w:rFonts w:ascii="Times New Roman" w:hAnsi="Times New Roman" w:eastAsia="仿宋_GB2312" w:cs="Times New Roman"/>
          <w:color w:val="auto"/>
          <w:sz w:val="32"/>
          <w:szCs w:val="32"/>
          <w:highlight w:val="none"/>
          <w:u w:val="none"/>
        </w:rPr>
        <w:t>与上年相比</w:t>
      </w:r>
      <w:r>
        <w:rPr>
          <w:rFonts w:hint="eastAsia" w:ascii="Times New Roman" w:hAnsi="Times New Roman" w:eastAsia="仿宋_GB2312" w:cs="Times New Roman"/>
          <w:color w:val="auto"/>
          <w:sz w:val="32"/>
          <w:szCs w:val="32"/>
          <w:highlight w:val="none"/>
          <w:u w:val="none"/>
          <w:lang w:eastAsia="zh-CN"/>
        </w:rPr>
        <w:t>减少</w:t>
      </w:r>
      <w:r>
        <w:rPr>
          <w:rFonts w:ascii="Times New Roman" w:hAnsi="Times New Roman" w:eastAsia="仿宋_GB2312" w:cs="Times New Roman"/>
          <w:color w:val="auto"/>
          <w:sz w:val="32"/>
          <w:szCs w:val="32"/>
          <w:highlight w:val="none"/>
          <w:u w:val="none"/>
        </w:rPr>
        <w:t xml:space="preserve"> </w:t>
      </w:r>
      <w:r>
        <w:rPr>
          <w:rFonts w:hint="eastAsia" w:ascii="Times New Roman" w:hAnsi="Times New Roman" w:eastAsia="仿宋_GB2312" w:cs="Times New Roman"/>
          <w:color w:val="auto"/>
          <w:sz w:val="32"/>
          <w:szCs w:val="32"/>
          <w:highlight w:val="none"/>
          <w:u w:val="none"/>
          <w:lang w:val="en-US" w:eastAsia="zh-CN"/>
        </w:rPr>
        <w:t>7.4</w:t>
      </w:r>
      <w:r>
        <w:rPr>
          <w:rFonts w:ascii="Times New Roman" w:hAnsi="Times New Roman" w:eastAsia="仿宋_GB2312" w:cs="Times New Roman"/>
          <w:color w:val="auto"/>
          <w:sz w:val="32"/>
          <w:szCs w:val="32"/>
          <w:highlight w:val="none"/>
          <w:u w:val="none"/>
        </w:rPr>
        <w:t xml:space="preserve">  万元，</w:t>
      </w:r>
      <w:r>
        <w:rPr>
          <w:rFonts w:hint="eastAsia" w:ascii="Times New Roman" w:hAnsi="Times New Roman" w:eastAsia="仿宋_GB2312" w:cs="Times New Roman"/>
          <w:color w:val="auto"/>
          <w:sz w:val="32"/>
          <w:szCs w:val="32"/>
          <w:highlight w:val="none"/>
          <w:u w:val="none"/>
          <w:lang w:eastAsia="zh-CN"/>
        </w:rPr>
        <w:t>降低</w:t>
      </w:r>
      <w:r>
        <w:rPr>
          <w:rFonts w:hint="eastAsia" w:ascii="Times New Roman" w:hAnsi="Times New Roman" w:eastAsia="仿宋_GB2312" w:cs="Times New Roman"/>
          <w:color w:val="auto"/>
          <w:sz w:val="32"/>
          <w:szCs w:val="32"/>
          <w:highlight w:val="none"/>
          <w:u w:val="none"/>
          <w:lang w:val="en-US" w:eastAsia="zh-CN"/>
        </w:rPr>
        <w:t xml:space="preserve">100 </w:t>
      </w:r>
      <w:r>
        <w:rPr>
          <w:rFonts w:ascii="Times New Roman" w:hAnsi="Times New Roman" w:eastAsia="仿宋_GB2312" w:cs="Times New Roman"/>
          <w:color w:val="auto"/>
          <w:sz w:val="32"/>
          <w:szCs w:val="32"/>
          <w:highlight w:val="none"/>
          <w:u w:val="none"/>
        </w:rPr>
        <w:t xml:space="preserve"> %</w:t>
      </w:r>
      <w:r>
        <w:rPr>
          <w:rFonts w:hint="eastAsia" w:ascii="Times New Roman" w:hAnsi="Times New Roman" w:eastAsia="仿宋_GB2312" w:cs="Times New Roman"/>
          <w:color w:val="auto"/>
          <w:sz w:val="32"/>
          <w:szCs w:val="32"/>
          <w:highlight w:val="none"/>
          <w:u w:val="none"/>
          <w:lang w:eastAsia="zh-CN"/>
        </w:rPr>
        <w:t>，降低</w:t>
      </w:r>
      <w:r>
        <w:rPr>
          <w:rFonts w:ascii="Times New Roman" w:hAnsi="Times New Roman" w:eastAsia="仿宋_GB2312" w:cs="Times New Roman"/>
          <w:color w:val="auto"/>
          <w:sz w:val="32"/>
          <w:szCs w:val="32"/>
          <w:highlight w:val="none"/>
          <w:u w:val="none"/>
        </w:rPr>
        <w:t>的主要原因是</w:t>
      </w:r>
      <w:r>
        <w:rPr>
          <w:rFonts w:hint="eastAsia" w:ascii="Times New Roman" w:hAnsi="Times New Roman" w:eastAsia="仿宋_GB2312" w:cs="Times New Roman"/>
          <w:color w:val="auto"/>
          <w:sz w:val="32"/>
          <w:szCs w:val="32"/>
          <w:highlight w:val="none"/>
          <w:u w:val="none"/>
          <w:lang w:eastAsia="zh-CN"/>
        </w:rPr>
        <w:t>落实基层单位零招待的新政策。</w:t>
      </w:r>
      <w:r>
        <w:rPr>
          <w:rFonts w:ascii="Times New Roman" w:hAnsi="Times New Roman" w:eastAsia="仿宋_GB2312" w:cs="Times New Roman"/>
          <w:color w:val="auto"/>
          <w:sz w:val="32"/>
          <w:szCs w:val="32"/>
          <w:u w:val="none"/>
        </w:rPr>
        <w:t>公务用车购置费及运行维护费支出预算为</w:t>
      </w:r>
      <w:r>
        <w:rPr>
          <w:rFonts w:hint="eastAsia" w:ascii="Times New Roman" w:hAnsi="Times New Roman" w:eastAsia="仿宋_GB2312" w:cs="Times New Roman"/>
          <w:color w:val="auto"/>
          <w:sz w:val="32"/>
          <w:szCs w:val="32"/>
          <w:u w:val="none"/>
          <w:lang w:val="en-US" w:eastAsia="zh-CN"/>
        </w:rPr>
        <w:t xml:space="preserve"> 1 </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 xml:space="preserve"> 3.92 </w:t>
      </w:r>
      <w:r>
        <w:rPr>
          <w:rFonts w:ascii="Times New Roman" w:hAnsi="Times New Roman" w:eastAsia="仿宋_GB2312" w:cs="Times New Roman"/>
          <w:color w:val="auto"/>
          <w:sz w:val="32"/>
          <w:szCs w:val="32"/>
          <w:u w:val="none"/>
        </w:rPr>
        <w:t>万元，完成预算的</w:t>
      </w:r>
      <w:r>
        <w:rPr>
          <w:rFonts w:hint="eastAsia" w:ascii="Times New Roman" w:hAnsi="Times New Roman" w:eastAsia="仿宋_GB2312" w:cs="Times New Roman"/>
          <w:color w:val="auto"/>
          <w:sz w:val="32"/>
          <w:szCs w:val="32"/>
          <w:u w:val="none"/>
          <w:lang w:val="en-US" w:eastAsia="zh-CN"/>
        </w:rPr>
        <w:t xml:space="preserve"> 392 </w:t>
      </w:r>
      <w:r>
        <w:rPr>
          <w:rFonts w:ascii="Times New Roman" w:hAnsi="Times New Roman" w:eastAsia="仿宋_GB2312" w:cs="Times New Roman"/>
          <w:color w:val="auto"/>
          <w:sz w:val="32"/>
          <w:szCs w:val="32"/>
          <w:u w:val="none"/>
        </w:rPr>
        <w:t>%，决算数</w:t>
      </w:r>
      <w:r>
        <w:rPr>
          <w:rFonts w:hint="eastAsia" w:ascii="Times New Roman" w:hAnsi="Times New Roman" w:eastAsia="仿宋_GB2312" w:cs="Times New Roman"/>
          <w:color w:val="auto"/>
          <w:sz w:val="32"/>
          <w:szCs w:val="32"/>
          <w:u w:val="none"/>
          <w:lang w:val="en-US" w:eastAsia="zh-CN"/>
        </w:rPr>
        <w:t>等于</w:t>
      </w:r>
      <w:r>
        <w:rPr>
          <w:rFonts w:ascii="Times New Roman" w:hAnsi="Times New Roman" w:eastAsia="仿宋_GB2312" w:cs="Times New Roman"/>
          <w:color w:val="auto"/>
          <w:sz w:val="32"/>
          <w:szCs w:val="32"/>
          <w:u w:val="none"/>
        </w:rPr>
        <w:t>年初预算数的主要原因是</w:t>
      </w:r>
      <w:r>
        <w:rPr>
          <w:rFonts w:hint="eastAsia" w:ascii="Times New Roman" w:hAnsi="Times New Roman" w:eastAsia="仿宋_GB2312" w:cs="Times New Roman"/>
          <w:color w:val="auto"/>
          <w:sz w:val="32"/>
          <w:szCs w:val="32"/>
          <w:u w:val="none"/>
          <w:lang w:val="en-US" w:eastAsia="zh-CN"/>
        </w:rPr>
        <w:t>本单位无</w:t>
      </w:r>
      <w:r>
        <w:rPr>
          <w:rFonts w:ascii="Times New Roman" w:hAnsi="Times New Roman" w:eastAsia="仿宋_GB2312" w:cs="Times New Roman"/>
          <w:color w:val="auto"/>
          <w:sz w:val="32"/>
          <w:szCs w:val="32"/>
          <w:u w:val="none"/>
        </w:rPr>
        <w:t>公务用车购置费及运行维护费支出，与上年相比</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w:t>
      </w:r>
    </w:p>
    <w:p w14:paraId="0D7F17B2">
      <w:pPr>
        <w:pStyle w:val="14"/>
        <w:numPr>
          <w:ilvl w:val="0"/>
          <w:numId w:val="1"/>
        </w:numPr>
        <w:overflowPunct w:val="0"/>
        <w:autoSpaceDE/>
        <w:autoSpaceDN/>
        <w:spacing w:line="600" w:lineRule="exact"/>
        <w:ind w:firstLine="640" w:firstLineChars="200"/>
        <w:jc w:val="both"/>
        <w:rPr>
          <w:rFonts w:ascii="Times New Roman" w:hAnsi="Times New Roman" w:eastAsia="楷体_GB2312" w:cs="Times New Roman"/>
          <w:b/>
          <w:sz w:val="32"/>
          <w:szCs w:val="32"/>
          <w:u w:val="none"/>
        </w:rPr>
      </w:pPr>
      <w:r>
        <w:rPr>
          <w:rFonts w:ascii="Times New Roman" w:hAnsi="Times New Roman" w:eastAsia="楷体_GB2312" w:cs="Times New Roman"/>
          <w:b/>
          <w:sz w:val="32"/>
          <w:szCs w:val="32"/>
          <w:u w:val="none"/>
        </w:rPr>
        <w:t>“三公”经费财政拨款支出决算具体情况说明</w:t>
      </w:r>
    </w:p>
    <w:p w14:paraId="12EDE627">
      <w:pPr>
        <w:pStyle w:val="14"/>
        <w:spacing w:line="600" w:lineRule="exact"/>
        <w:ind w:firstLine="640" w:firstLineChars="200"/>
        <w:rPr>
          <w:rFonts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lang w:val="en-US" w:eastAsia="zh-CN"/>
        </w:rPr>
        <w:t>2025</w:t>
      </w:r>
      <w:r>
        <w:rPr>
          <w:rFonts w:ascii="Times New Roman" w:hAnsi="Times New Roman" w:eastAsia="仿宋_GB2312" w:cs="Times New Roman"/>
          <w:color w:val="auto"/>
          <w:sz w:val="32"/>
          <w:szCs w:val="32"/>
          <w:highlight w:val="none"/>
          <w:u w:val="none"/>
        </w:rPr>
        <w:t xml:space="preserve">年度“三公”经费财政拨款支出决算中，公务接待费支出决算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万元，占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w:t>
      </w:r>
      <w:r>
        <w:rPr>
          <w:rFonts w:hint="eastAsia" w:ascii="Times New Roman" w:hAnsi="Times New Roman" w:eastAsia="仿宋_GB2312" w:cs="Times New Roman"/>
          <w:color w:val="auto"/>
          <w:sz w:val="32"/>
          <w:szCs w:val="32"/>
          <w:highlight w:val="none"/>
          <w:u w:val="none"/>
          <w:lang w:eastAsia="zh-CN"/>
        </w:rPr>
        <w:t>，</w:t>
      </w:r>
      <w:r>
        <w:rPr>
          <w:rFonts w:ascii="Times New Roman" w:hAnsi="Times New Roman" w:eastAsia="仿宋_GB2312" w:cs="Times New Roman"/>
          <w:color w:val="auto"/>
          <w:sz w:val="32"/>
          <w:szCs w:val="32"/>
          <w:highlight w:val="none"/>
          <w:u w:val="none"/>
        </w:rPr>
        <w:t xml:space="preserve">因公出国（境）费支出决算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万元，占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w:t>
      </w:r>
      <w:r>
        <w:rPr>
          <w:rFonts w:hint="eastAsia" w:ascii="Times New Roman" w:hAnsi="Times New Roman" w:eastAsia="仿宋_GB2312" w:cs="Times New Roman"/>
          <w:color w:val="auto"/>
          <w:sz w:val="32"/>
          <w:szCs w:val="32"/>
          <w:highlight w:val="none"/>
          <w:u w:val="none"/>
          <w:lang w:eastAsia="zh-CN"/>
        </w:rPr>
        <w:t>，</w:t>
      </w:r>
      <w:r>
        <w:rPr>
          <w:rFonts w:ascii="Times New Roman" w:hAnsi="Times New Roman" w:eastAsia="仿宋_GB2312" w:cs="Times New Roman"/>
          <w:color w:val="auto"/>
          <w:sz w:val="32"/>
          <w:szCs w:val="32"/>
          <w:highlight w:val="none"/>
          <w:u w:val="none"/>
        </w:rPr>
        <w:t xml:space="preserve">公务用车购置费及运行维护费支出决算 </w:t>
      </w:r>
      <w:r>
        <w:rPr>
          <w:rFonts w:hint="eastAsia" w:ascii="Times New Roman" w:hAnsi="Times New Roman" w:eastAsia="仿宋_GB2312" w:cs="Times New Roman"/>
          <w:color w:val="auto"/>
          <w:sz w:val="32"/>
          <w:szCs w:val="32"/>
          <w:highlight w:val="none"/>
          <w:u w:val="none"/>
          <w:lang w:val="en-US" w:eastAsia="zh-CN"/>
        </w:rPr>
        <w:t>3.92</w:t>
      </w:r>
      <w:r>
        <w:rPr>
          <w:rFonts w:ascii="Times New Roman" w:hAnsi="Times New Roman" w:eastAsia="仿宋_GB2312" w:cs="Times New Roman"/>
          <w:color w:val="auto"/>
          <w:sz w:val="32"/>
          <w:szCs w:val="32"/>
          <w:highlight w:val="none"/>
          <w:u w:val="none"/>
        </w:rPr>
        <w:t xml:space="preserve"> 万元，占 </w:t>
      </w:r>
      <w:r>
        <w:rPr>
          <w:rFonts w:hint="eastAsia" w:ascii="Times New Roman" w:hAnsi="Times New Roman" w:eastAsia="仿宋_GB2312" w:cs="Times New Roman"/>
          <w:color w:val="auto"/>
          <w:sz w:val="32"/>
          <w:szCs w:val="32"/>
          <w:highlight w:val="none"/>
          <w:u w:val="none"/>
          <w:lang w:val="en-US" w:eastAsia="zh-CN"/>
        </w:rPr>
        <w:t>100</w:t>
      </w:r>
      <w:r>
        <w:rPr>
          <w:rFonts w:ascii="Times New Roman" w:hAnsi="Times New Roman" w:eastAsia="仿宋_GB2312" w:cs="Times New Roman"/>
          <w:color w:val="auto"/>
          <w:sz w:val="32"/>
          <w:szCs w:val="32"/>
          <w:highlight w:val="none"/>
          <w:u w:val="none"/>
        </w:rPr>
        <w:t xml:space="preserve">  %。其中：</w:t>
      </w:r>
    </w:p>
    <w:p w14:paraId="631AC6AE">
      <w:pPr>
        <w:pStyle w:val="14"/>
        <w:numPr>
          <w:ilvl w:val="0"/>
          <w:numId w:val="2"/>
        </w:numPr>
        <w:spacing w:line="600" w:lineRule="exact"/>
        <w:ind w:firstLine="640" w:firstLineChars="200"/>
        <w:rPr>
          <w:rFonts w:ascii="Times New Roman" w:hAnsi="Times New Roman" w:eastAsia="仿宋_GB2312" w:cs="Times New Roman"/>
          <w:color w:val="auto"/>
          <w:sz w:val="32"/>
          <w:szCs w:val="32"/>
          <w:highlight w:val="none"/>
          <w:u w:val="none"/>
        </w:rPr>
      </w:pPr>
      <w:r>
        <w:rPr>
          <w:rFonts w:ascii="Times New Roman" w:hAnsi="Times New Roman" w:eastAsia="仿宋_GB2312" w:cs="Times New Roman"/>
          <w:color w:val="auto"/>
          <w:sz w:val="32"/>
          <w:szCs w:val="32"/>
          <w:highlight w:val="none"/>
          <w:u w:val="none"/>
        </w:rPr>
        <w:t xml:space="preserve">因公出国（境）费支出决算为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万元，全年安排因公出国（境）团组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个，累计  </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 xml:space="preserve"> 人次</w:t>
      </w:r>
      <w:r>
        <w:rPr>
          <w:rFonts w:hint="eastAsia" w:ascii="Times New Roman" w:hAnsi="Times New Roman" w:eastAsia="仿宋_GB2312" w:cs="Times New Roman"/>
          <w:color w:val="auto"/>
          <w:sz w:val="32"/>
          <w:szCs w:val="32"/>
          <w:highlight w:val="none"/>
          <w:u w:val="none"/>
          <w:lang w:eastAsia="zh-CN"/>
        </w:rPr>
        <w:t>；</w:t>
      </w:r>
    </w:p>
    <w:p w14:paraId="53C2B377">
      <w:pPr>
        <w:pStyle w:val="14"/>
        <w:spacing w:line="600" w:lineRule="exact"/>
        <w:ind w:firstLine="640" w:firstLineChars="200"/>
        <w:rPr>
          <w:rFonts w:hint="eastAsia"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rPr>
        <w:t xml:space="preserve">2、公务接待费支出决算为 </w:t>
      </w:r>
      <w:r>
        <w:rPr>
          <w:rFonts w:hint="eastAsia" w:ascii="Times New Roman" w:hAnsi="Times New Roman" w:eastAsia="仿宋_GB2312" w:cs="Times New Roman"/>
          <w:color w:val="auto"/>
          <w:sz w:val="32"/>
          <w:szCs w:val="32"/>
          <w:highlight w:val="none"/>
          <w:u w:val="none"/>
          <w:lang w:val="en-US" w:eastAsia="zh-CN"/>
        </w:rPr>
        <w:t xml:space="preserve">0 </w:t>
      </w:r>
      <w:r>
        <w:rPr>
          <w:rFonts w:ascii="Times New Roman" w:hAnsi="Times New Roman" w:eastAsia="仿宋_GB2312" w:cs="Times New Roman"/>
          <w:color w:val="auto"/>
          <w:sz w:val="32"/>
          <w:szCs w:val="32"/>
          <w:highlight w:val="none"/>
          <w:u w:val="none"/>
        </w:rPr>
        <w:t>万元，全年共接待来访团组</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个、来宾</w:t>
      </w:r>
      <w:r>
        <w:rPr>
          <w:rFonts w:hint="eastAsia" w:ascii="Times New Roman" w:hAnsi="Times New Roman" w:eastAsia="仿宋_GB2312" w:cs="Times New Roman"/>
          <w:color w:val="auto"/>
          <w:sz w:val="32"/>
          <w:szCs w:val="32"/>
          <w:highlight w:val="none"/>
          <w:u w:val="none"/>
          <w:lang w:val="en-US" w:eastAsia="zh-CN"/>
        </w:rPr>
        <w:t>0</w:t>
      </w:r>
      <w:r>
        <w:rPr>
          <w:rFonts w:ascii="Times New Roman" w:hAnsi="Times New Roman" w:eastAsia="仿宋_GB2312" w:cs="Times New Roman"/>
          <w:color w:val="auto"/>
          <w:sz w:val="32"/>
          <w:szCs w:val="32"/>
          <w:highlight w:val="none"/>
          <w:u w:val="none"/>
        </w:rPr>
        <w:t>人次</w:t>
      </w:r>
      <w:r>
        <w:rPr>
          <w:rFonts w:hint="eastAsia" w:ascii="Times New Roman" w:hAnsi="Times New Roman" w:eastAsia="仿宋_GB2312" w:cs="Times New Roman"/>
          <w:color w:val="auto"/>
          <w:sz w:val="32"/>
          <w:szCs w:val="32"/>
          <w:highlight w:val="none"/>
          <w:u w:val="none"/>
          <w:lang w:eastAsia="zh-CN"/>
        </w:rPr>
        <w:t>；</w:t>
      </w:r>
    </w:p>
    <w:p w14:paraId="132E6532">
      <w:pPr>
        <w:spacing w:line="600" w:lineRule="exact"/>
        <w:ind w:firstLine="640" w:firstLineChars="200"/>
        <w:rPr>
          <w:rFonts w:ascii="Times New Roman" w:hAnsi="Times New Roman" w:eastAsia="楷体_GB2312" w:cs="Times New Roman"/>
          <w:b/>
          <w:sz w:val="32"/>
          <w:szCs w:val="32"/>
          <w:u w:val="none"/>
        </w:rPr>
      </w:pPr>
      <w:r>
        <w:rPr>
          <w:rFonts w:eastAsia="仿宋_GB2312"/>
          <w:sz w:val="32"/>
          <w:szCs w:val="32"/>
          <w:u w:val="none"/>
        </w:rPr>
        <w:t xml:space="preserve">3、公务用车购置费及运行维护费支出决算为 </w:t>
      </w:r>
      <w:r>
        <w:rPr>
          <w:rFonts w:hint="eastAsia" w:eastAsia="仿宋_GB2312"/>
          <w:sz w:val="32"/>
          <w:szCs w:val="32"/>
          <w:u w:val="none"/>
          <w:lang w:val="en-US" w:eastAsia="zh-CN"/>
        </w:rPr>
        <w:t>3.92</w:t>
      </w:r>
      <w:r>
        <w:rPr>
          <w:rFonts w:eastAsia="仿宋_GB2312"/>
          <w:sz w:val="32"/>
          <w:szCs w:val="32"/>
          <w:u w:val="none"/>
        </w:rPr>
        <w:t xml:space="preserve"> 万元，其中：公务用车购置费 </w:t>
      </w:r>
      <w:r>
        <w:rPr>
          <w:rFonts w:hint="eastAsia" w:eastAsia="仿宋_GB2312"/>
          <w:sz w:val="32"/>
          <w:szCs w:val="32"/>
          <w:u w:val="none"/>
          <w:lang w:val="en-US" w:eastAsia="zh-CN"/>
        </w:rPr>
        <w:t>0</w:t>
      </w:r>
      <w:r>
        <w:rPr>
          <w:rFonts w:eastAsia="仿宋_GB2312"/>
          <w:sz w:val="32"/>
          <w:szCs w:val="32"/>
          <w:u w:val="none"/>
        </w:rPr>
        <w:t xml:space="preserve"> 万元</w:t>
      </w:r>
      <w:r>
        <w:rPr>
          <w:rFonts w:hint="eastAsia" w:eastAsia="仿宋_GB2312"/>
          <w:sz w:val="32"/>
          <w:szCs w:val="32"/>
          <w:u w:val="none"/>
          <w:lang w:eastAsia="zh-CN"/>
        </w:rPr>
        <w:t>，</w:t>
      </w:r>
      <w:r>
        <w:rPr>
          <w:rFonts w:eastAsia="仿宋_GB2312"/>
          <w:sz w:val="32"/>
          <w:szCs w:val="32"/>
          <w:u w:val="none"/>
        </w:rPr>
        <w:t xml:space="preserve">公务用车运行维护费 </w:t>
      </w:r>
      <w:r>
        <w:rPr>
          <w:rFonts w:hint="eastAsia" w:eastAsia="仿宋_GB2312"/>
          <w:sz w:val="32"/>
          <w:szCs w:val="32"/>
          <w:u w:val="none"/>
          <w:lang w:val="en-US" w:eastAsia="zh-CN"/>
        </w:rPr>
        <w:t>3.92</w:t>
      </w:r>
      <w:r>
        <w:rPr>
          <w:rFonts w:eastAsia="仿宋_GB2312"/>
          <w:sz w:val="32"/>
          <w:szCs w:val="32"/>
          <w:u w:val="none"/>
        </w:rPr>
        <w:t xml:space="preserve"> 万元，截止</w:t>
      </w:r>
      <w:r>
        <w:rPr>
          <w:rFonts w:hint="eastAsia" w:eastAsia="仿宋_GB2312"/>
          <w:sz w:val="32"/>
          <w:szCs w:val="32"/>
          <w:u w:val="none"/>
          <w:lang w:val="en-US" w:eastAsia="zh-CN"/>
        </w:rPr>
        <w:t>2025</w:t>
      </w:r>
      <w:r>
        <w:rPr>
          <w:rFonts w:eastAsia="仿宋_GB2312"/>
          <w:sz w:val="32"/>
          <w:szCs w:val="32"/>
          <w:u w:val="none"/>
        </w:rPr>
        <w:t xml:space="preserve">年12月31日，我单位开支财政拨款的公务用车保有量为 </w:t>
      </w:r>
      <w:r>
        <w:rPr>
          <w:rFonts w:hint="eastAsia" w:eastAsia="仿宋_GB2312"/>
          <w:sz w:val="32"/>
          <w:szCs w:val="32"/>
          <w:u w:val="none"/>
          <w:lang w:val="en-US" w:eastAsia="zh-CN"/>
        </w:rPr>
        <w:t>0</w:t>
      </w:r>
      <w:r>
        <w:rPr>
          <w:rFonts w:eastAsia="仿宋_GB2312"/>
          <w:sz w:val="32"/>
          <w:szCs w:val="32"/>
          <w:u w:val="none"/>
        </w:rPr>
        <w:t xml:space="preserve"> 辆。</w:t>
      </w:r>
    </w:p>
    <w:p w14:paraId="4AE31829">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八、政府性基金预算收入支出决算情况</w:t>
      </w:r>
    </w:p>
    <w:p w14:paraId="7FB2E587">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u w:val="none"/>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年度政府性基金预算财政拨款收入</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万元；年初结转和结余</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sz w:val="32"/>
          <w:szCs w:val="32"/>
          <w:u w:val="none"/>
        </w:rPr>
        <w:t>万元；支出</w:t>
      </w:r>
      <w:r>
        <w:rPr>
          <w:rFonts w:hint="eastAsia" w:ascii="Times New Roman" w:hAnsi="Times New Roman" w:eastAsia="仿宋_GB2312" w:cs="Times New Roman"/>
          <w:sz w:val="32"/>
          <w:szCs w:val="32"/>
          <w:u w:val="none"/>
          <w:lang w:val="en-US" w:eastAsia="zh-CN"/>
        </w:rPr>
        <w:t>841.56</w:t>
      </w:r>
      <w:r>
        <w:rPr>
          <w:rFonts w:ascii="Times New Roman" w:hAnsi="Times New Roman" w:eastAsia="仿宋_GB2312" w:cs="Times New Roman"/>
          <w:sz w:val="32"/>
          <w:szCs w:val="32"/>
          <w:u w:val="none"/>
        </w:rPr>
        <w:t>万元，其中基本支出</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sz w:val="32"/>
          <w:szCs w:val="32"/>
          <w:u w:val="none"/>
        </w:rPr>
        <w:t>万元，项目支出</w:t>
      </w:r>
      <w:r>
        <w:rPr>
          <w:rFonts w:hint="eastAsia" w:ascii="Times New Roman" w:hAnsi="Times New Roman" w:eastAsia="仿宋_GB2312" w:cs="Times New Roman"/>
          <w:sz w:val="32"/>
          <w:szCs w:val="32"/>
          <w:u w:val="none"/>
          <w:lang w:val="en-US" w:eastAsia="zh-CN"/>
        </w:rPr>
        <w:t>841.56</w:t>
      </w:r>
      <w:r>
        <w:rPr>
          <w:rFonts w:ascii="Times New Roman" w:hAnsi="Times New Roman" w:eastAsia="仿宋_GB2312" w:cs="Times New Roman"/>
          <w:sz w:val="32"/>
          <w:szCs w:val="32"/>
          <w:u w:val="none"/>
        </w:rPr>
        <w:t>万元；年末结转和结余</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sz w:val="32"/>
          <w:szCs w:val="32"/>
          <w:u w:val="none"/>
        </w:rPr>
        <w:t>万元。具体情况如下：</w:t>
      </w:r>
    </w:p>
    <w:p w14:paraId="59BD242C">
      <w:pPr>
        <w:pStyle w:val="14"/>
        <w:numPr>
          <w:ilvl w:val="0"/>
          <w:numId w:val="3"/>
        </w:numPr>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城乡社区支出212（类），征地和拆迁补偿支出2120801（项）</w:t>
      </w:r>
    </w:p>
    <w:p w14:paraId="71EF4169">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年初预算为 0 万元，支出决算为590.44万元，</w:t>
      </w:r>
      <w:r>
        <w:rPr>
          <w:rFonts w:ascii="Times New Roman" w:hAnsi="Times New Roman" w:eastAsia="仿宋_GB2312" w:cs="Times New Roman"/>
          <w:color w:val="auto"/>
          <w:sz w:val="32"/>
          <w:szCs w:val="32"/>
          <w:u w:val="none"/>
        </w:rPr>
        <w:t>决算数</w:t>
      </w:r>
      <w:r>
        <w:rPr>
          <w:rFonts w:hint="eastAsia" w:ascii="Times New Roman" w:hAnsi="Times New Roman" w:eastAsia="仿宋_GB2312" w:cs="Times New Roman"/>
          <w:color w:val="auto"/>
          <w:sz w:val="32"/>
          <w:szCs w:val="32"/>
          <w:u w:val="none"/>
          <w:lang w:eastAsia="zh-CN"/>
        </w:rPr>
        <w:t>大于</w:t>
      </w:r>
      <w:r>
        <w:rPr>
          <w:rFonts w:ascii="Times New Roman" w:hAnsi="Times New Roman" w:eastAsia="仿宋_GB2312" w:cs="Times New Roman"/>
          <w:color w:val="auto"/>
          <w:sz w:val="32"/>
          <w:szCs w:val="32"/>
          <w:u w:val="none"/>
        </w:rPr>
        <w:t>年初预算数的主要原因是：</w:t>
      </w:r>
      <w:r>
        <w:rPr>
          <w:rFonts w:hint="eastAsia" w:ascii="Times New Roman" w:hAnsi="Times New Roman" w:eastAsia="仿宋_GB2312" w:cs="Times New Roman"/>
          <w:color w:val="auto"/>
          <w:sz w:val="32"/>
          <w:szCs w:val="32"/>
          <w:u w:val="none"/>
          <w:lang w:val="en-US" w:eastAsia="zh-CN"/>
        </w:rPr>
        <w:t>较往年增加支付原塔峰一市场（湘南边贸城）征地和拆迁补偿支出590.44 万元。</w:t>
      </w:r>
    </w:p>
    <w:p w14:paraId="399DF4AD">
      <w:pPr>
        <w:pStyle w:val="14"/>
        <w:keepNext w:val="0"/>
        <w:keepLines w:val="0"/>
        <w:pageBreakBefore w:val="0"/>
        <w:widowControl w:val="0"/>
        <w:numPr>
          <w:ilvl w:val="0"/>
          <w:numId w:val="3"/>
        </w:numPr>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其他支出21213（类），其他地方自行试点项目收益专项债券收入安排的支出2121301（项）</w:t>
      </w:r>
    </w:p>
    <w:p w14:paraId="1BDC7577">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年初预算为 0 万元，支出决算为251.13 万元，</w:t>
      </w:r>
      <w:r>
        <w:rPr>
          <w:rFonts w:ascii="Times New Roman" w:hAnsi="Times New Roman" w:eastAsia="仿宋_GB2312" w:cs="Times New Roman"/>
          <w:color w:val="auto"/>
          <w:sz w:val="32"/>
          <w:szCs w:val="32"/>
          <w:u w:val="none"/>
        </w:rPr>
        <w:t>决算数</w:t>
      </w:r>
      <w:r>
        <w:rPr>
          <w:rFonts w:hint="eastAsia" w:ascii="Times New Roman" w:hAnsi="Times New Roman" w:eastAsia="仿宋_GB2312" w:cs="Times New Roman"/>
          <w:color w:val="auto"/>
          <w:sz w:val="32"/>
          <w:szCs w:val="32"/>
          <w:u w:val="none"/>
          <w:lang w:eastAsia="zh-CN"/>
        </w:rPr>
        <w:t>大于</w:t>
      </w:r>
      <w:r>
        <w:rPr>
          <w:rFonts w:ascii="Times New Roman" w:hAnsi="Times New Roman" w:eastAsia="仿宋_GB2312" w:cs="Times New Roman"/>
          <w:color w:val="auto"/>
          <w:sz w:val="32"/>
          <w:szCs w:val="32"/>
          <w:u w:val="none"/>
        </w:rPr>
        <w:t>年初预算数的主要原因是：</w:t>
      </w:r>
      <w:r>
        <w:rPr>
          <w:rFonts w:hint="eastAsia" w:ascii="Times New Roman" w:hAnsi="Times New Roman" w:eastAsia="仿宋_GB2312" w:cs="Times New Roman"/>
          <w:color w:val="auto"/>
          <w:sz w:val="32"/>
          <w:szCs w:val="32"/>
          <w:u w:val="none"/>
          <w:lang w:val="en-US" w:eastAsia="zh-CN"/>
        </w:rPr>
        <w:t>较往年增加支付原塔峰一市场（湘南边贸城）重建项目专项债资金251.13万元。</w:t>
      </w:r>
    </w:p>
    <w:p w14:paraId="59824561">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九、关于机关运行经费支出说明</w:t>
      </w:r>
    </w:p>
    <w:p w14:paraId="1771B63B">
      <w:pPr>
        <w:spacing w:line="600" w:lineRule="exact"/>
        <w:ind w:firstLine="640" w:firstLineChars="200"/>
        <w:rPr>
          <w:rFonts w:eastAsia="仿宋_GB2312"/>
          <w:kern w:val="0"/>
          <w:sz w:val="32"/>
          <w:szCs w:val="32"/>
          <w:u w:val="none"/>
        </w:rPr>
      </w:pPr>
      <w:r>
        <w:rPr>
          <w:rFonts w:ascii="Times New Roman" w:hAnsi="Times New Roman" w:eastAsia="仿宋_GB2312" w:cs="Times New Roman"/>
          <w:sz w:val="32"/>
          <w:szCs w:val="32"/>
          <w:u w:val="none"/>
        </w:rPr>
        <w:t>本部门202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年度机关运行经费支出</w:t>
      </w:r>
      <w:r>
        <w:rPr>
          <w:rFonts w:hint="eastAsia" w:ascii="Times New Roman" w:hAnsi="Times New Roman" w:eastAsia="仿宋_GB2312" w:cs="Times New Roman"/>
          <w:sz w:val="32"/>
          <w:szCs w:val="32"/>
          <w:u w:val="none"/>
          <w:lang w:val="en-US" w:eastAsia="zh-CN"/>
        </w:rPr>
        <w:t>437.61</w:t>
      </w:r>
      <w:r>
        <w:rPr>
          <w:rFonts w:ascii="Times New Roman" w:hAnsi="Times New Roman" w:eastAsia="仿宋_GB2312" w:cs="Times New Roman"/>
          <w:sz w:val="32"/>
          <w:szCs w:val="32"/>
          <w:u w:val="none"/>
        </w:rPr>
        <w:t>万元，比年初预</w:t>
      </w:r>
      <w:r>
        <w:rPr>
          <w:rFonts w:hint="eastAsia" w:ascii="Times New Roman" w:hAnsi="Times New Roman" w:eastAsia="仿宋_GB2312" w:cs="Times New Roman"/>
          <w:sz w:val="32"/>
          <w:szCs w:val="32"/>
          <w:u w:val="none"/>
          <w:lang w:eastAsia="zh-CN"/>
        </w:rPr>
        <w:t>算数增加</w:t>
      </w:r>
      <w:r>
        <w:rPr>
          <w:rFonts w:hint="eastAsia" w:ascii="Times New Roman" w:hAnsi="Times New Roman" w:eastAsia="仿宋_GB2312" w:cs="Times New Roman"/>
          <w:sz w:val="32"/>
          <w:szCs w:val="32"/>
          <w:u w:val="none"/>
          <w:lang w:val="en-US" w:eastAsia="zh-CN"/>
        </w:rPr>
        <w:t>363.19</w:t>
      </w:r>
      <w:r>
        <w:rPr>
          <w:rFonts w:ascii="Times New Roman" w:hAnsi="Times New Roman" w:eastAsia="仿宋_GB2312" w:cs="Times New Roman"/>
          <w:sz w:val="32"/>
          <w:szCs w:val="32"/>
          <w:u w:val="none"/>
        </w:rPr>
        <w:t xml:space="preserve"> 万元，</w:t>
      </w:r>
      <w:r>
        <w:rPr>
          <w:rFonts w:hint="eastAsia" w:ascii="Times New Roman" w:hAnsi="Times New Roman" w:eastAsia="仿宋_GB2312" w:cs="Times New Roman"/>
          <w:sz w:val="32"/>
          <w:szCs w:val="32"/>
          <w:u w:val="none"/>
          <w:lang w:eastAsia="zh-CN"/>
        </w:rPr>
        <w:t>增长</w:t>
      </w:r>
      <w:r>
        <w:rPr>
          <w:rFonts w:hint="eastAsia" w:ascii="Times New Roman" w:hAnsi="Times New Roman" w:eastAsia="仿宋_GB2312" w:cs="Times New Roman"/>
          <w:sz w:val="32"/>
          <w:szCs w:val="32"/>
          <w:u w:val="none"/>
          <w:lang w:val="en-US" w:eastAsia="zh-CN"/>
        </w:rPr>
        <w:t>82.99</w:t>
      </w:r>
      <w:r>
        <w:rPr>
          <w:rFonts w:ascii="Times New Roman" w:hAnsi="Times New Roman" w:eastAsia="仿宋_GB2312" w:cs="Times New Roman"/>
          <w:sz w:val="32"/>
          <w:szCs w:val="32"/>
          <w:u w:val="none"/>
        </w:rPr>
        <w:t>%。</w:t>
      </w:r>
      <w:r>
        <w:rPr>
          <w:rFonts w:eastAsia="仿宋_GB2312"/>
          <w:kern w:val="0"/>
          <w:sz w:val="32"/>
          <w:szCs w:val="32"/>
          <w:u w:val="none"/>
        </w:rPr>
        <w:t>主要原因是：</w:t>
      </w:r>
      <w:r>
        <w:rPr>
          <w:rFonts w:hint="eastAsia" w:eastAsia="仿宋_GB2312"/>
          <w:kern w:val="0"/>
          <w:sz w:val="32"/>
          <w:szCs w:val="32"/>
          <w:u w:val="none"/>
          <w:lang w:val="en-US" w:eastAsia="zh-CN"/>
        </w:rPr>
        <w:t>年终决算比年初预算增加了2025年非税收入执收成本返还经费支出，主要用于</w:t>
      </w:r>
      <w:r>
        <w:rPr>
          <w:rFonts w:hint="eastAsia" w:ascii="Times New Roman" w:hAnsi="Times New Roman" w:eastAsia="仿宋_GB2312" w:cs="Times New Roman"/>
          <w:color w:val="auto"/>
          <w:sz w:val="32"/>
          <w:szCs w:val="32"/>
          <w:u w:val="none"/>
          <w:lang w:val="en-US" w:eastAsia="zh-CN"/>
        </w:rPr>
        <w:t>市场保洁的劳务费</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工会福利经费、</w:t>
      </w:r>
      <w:r>
        <w:rPr>
          <w:rFonts w:hint="eastAsia" w:ascii="Times New Roman" w:hAnsi="Times New Roman" w:eastAsia="仿宋_GB2312" w:cs="Times New Roman"/>
          <w:color w:val="auto"/>
          <w:sz w:val="32"/>
          <w:szCs w:val="32"/>
          <w:u w:val="none"/>
        </w:rPr>
        <w:t>其他商品和服务支出</w:t>
      </w:r>
      <w:r>
        <w:rPr>
          <w:rFonts w:hint="eastAsia" w:ascii="Times New Roman" w:hAnsi="Times New Roman" w:eastAsia="仿宋_GB2312" w:cs="Times New Roman"/>
          <w:color w:val="auto"/>
          <w:sz w:val="32"/>
          <w:szCs w:val="32"/>
          <w:u w:val="none"/>
          <w:lang w:val="en-US" w:eastAsia="zh-CN"/>
        </w:rPr>
        <w:t>以及偿还往年市场建设改造所欠债务</w:t>
      </w:r>
      <w:r>
        <w:rPr>
          <w:rFonts w:hint="eastAsia" w:eastAsia="仿宋_GB2312"/>
          <w:kern w:val="0"/>
          <w:sz w:val="32"/>
          <w:szCs w:val="32"/>
          <w:u w:val="none"/>
          <w:lang w:eastAsia="zh-CN"/>
        </w:rPr>
        <w:t>。</w:t>
      </w:r>
    </w:p>
    <w:p w14:paraId="0CC76062">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十、一般性支出情况说明</w:t>
      </w:r>
    </w:p>
    <w:p w14:paraId="2CB4F97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u w:val="none"/>
          <w:lang w:eastAsia="zh-CN"/>
        </w:rPr>
      </w:pPr>
      <w:r>
        <w:rPr>
          <w:rFonts w:ascii="Times New Roman" w:hAnsi="Times New Roman" w:eastAsia="仿宋_GB2312" w:cs="Times New Roman"/>
          <w:sz w:val="32"/>
          <w:szCs w:val="32"/>
          <w:u w:val="none"/>
        </w:rPr>
        <w:t>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年本部门开支会议费</w:t>
      </w:r>
      <w:r>
        <w:rPr>
          <w:rFonts w:hint="eastAsia" w:ascii="Times New Roman" w:hAnsi="Times New Roman" w:eastAsia="仿宋_GB2312" w:cs="Times New Roman"/>
          <w:sz w:val="32"/>
          <w:szCs w:val="32"/>
          <w:u w:val="none"/>
          <w:lang w:val="en-US" w:eastAsia="zh-CN"/>
        </w:rPr>
        <w:t xml:space="preserve">0 </w:t>
      </w:r>
      <w:r>
        <w:rPr>
          <w:rFonts w:ascii="Times New Roman" w:hAnsi="Times New Roman" w:eastAsia="仿宋_GB2312" w:cs="Times New Roman"/>
          <w:sz w:val="32"/>
          <w:szCs w:val="32"/>
          <w:u w:val="none"/>
        </w:rPr>
        <w:t>万元，人数</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sz w:val="32"/>
          <w:szCs w:val="32"/>
          <w:u w:val="none"/>
        </w:rPr>
        <w:t>人</w:t>
      </w:r>
      <w:r>
        <w:rPr>
          <w:rFonts w:hint="eastAsia" w:ascii="Times New Roman" w:hAnsi="Times New Roman" w:eastAsia="仿宋_GB2312" w:cs="Times New Roman"/>
          <w:sz w:val="32"/>
          <w:szCs w:val="32"/>
          <w:u w:val="none"/>
          <w:lang w:eastAsia="zh-CN"/>
        </w:rPr>
        <w:t>，</w:t>
      </w:r>
      <w:r>
        <w:rPr>
          <w:rFonts w:ascii="Times New Roman" w:hAnsi="Times New Roman" w:eastAsia="仿宋_GB2312" w:cs="Times New Roman"/>
          <w:sz w:val="32"/>
          <w:szCs w:val="32"/>
          <w:u w:val="none"/>
        </w:rPr>
        <w:t>开支培训费</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sz w:val="32"/>
          <w:szCs w:val="32"/>
          <w:u w:val="none"/>
        </w:rPr>
        <w:t>万元，人数</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sz w:val="32"/>
          <w:szCs w:val="32"/>
          <w:u w:val="none"/>
        </w:rPr>
        <w:t>人，开支</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sz w:val="32"/>
          <w:szCs w:val="32"/>
          <w:u w:val="none"/>
        </w:rPr>
        <w:t>万元</w:t>
      </w:r>
      <w:r>
        <w:rPr>
          <w:rFonts w:hint="eastAsia" w:ascii="Times New Roman" w:hAnsi="Times New Roman" w:eastAsia="仿宋_GB2312" w:cs="Times New Roman"/>
          <w:sz w:val="32"/>
          <w:szCs w:val="32"/>
          <w:u w:val="none"/>
          <w:lang w:eastAsia="zh-CN"/>
        </w:rPr>
        <w:t>。</w:t>
      </w:r>
    </w:p>
    <w:p w14:paraId="0E890426">
      <w:pPr>
        <w:pStyle w:val="14"/>
        <w:overflowPunct w:val="0"/>
        <w:autoSpaceDE/>
        <w:autoSpaceDN/>
        <w:spacing w:line="600" w:lineRule="exact"/>
        <w:ind w:firstLine="640" w:firstLineChars="200"/>
        <w:jc w:val="both"/>
        <w:rPr>
          <w:rFonts w:ascii="Times New Roman" w:hAnsi="Times New Roman" w:cs="Times New Roman"/>
          <w:bCs/>
          <w:sz w:val="32"/>
          <w:szCs w:val="32"/>
          <w:u w:val="none"/>
        </w:rPr>
      </w:pPr>
      <w:r>
        <w:rPr>
          <w:rFonts w:ascii="Times New Roman" w:hAnsi="Times New Roman" w:cs="Times New Roman"/>
          <w:bCs/>
          <w:sz w:val="32"/>
          <w:szCs w:val="32"/>
          <w:u w:val="none"/>
        </w:rPr>
        <w:t>十一、关于政府采购支出说明</w:t>
      </w:r>
    </w:p>
    <w:p w14:paraId="748A33F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u w:val="none"/>
          <w:lang w:eastAsia="zh-CN"/>
        </w:rPr>
      </w:pPr>
      <w:r>
        <w:rPr>
          <w:rFonts w:ascii="Times New Roman" w:hAnsi="Times New Roman" w:eastAsia="仿宋_GB2312" w:cs="Times New Roman"/>
          <w:sz w:val="32"/>
          <w:szCs w:val="32"/>
          <w:u w:val="none"/>
        </w:rPr>
        <w:t>本部门202</w:t>
      </w:r>
      <w:r>
        <w:rPr>
          <w:rFonts w:hint="eastAsia" w:ascii="Times New Roman" w:hAnsi="Times New Roman" w:eastAsia="仿宋_GB2312" w:cs="Times New Roman"/>
          <w:sz w:val="32"/>
          <w:szCs w:val="32"/>
          <w:u w:val="none"/>
          <w:lang w:val="en-US" w:eastAsia="zh-CN"/>
        </w:rPr>
        <w:t>5</w:t>
      </w:r>
      <w:r>
        <w:rPr>
          <w:rFonts w:ascii="Times New Roman" w:hAnsi="Times New Roman" w:eastAsia="仿宋_GB2312" w:cs="Times New Roman"/>
          <w:sz w:val="32"/>
          <w:szCs w:val="32"/>
          <w:u w:val="none"/>
        </w:rPr>
        <w:t>年度政府采购支出总额</w:t>
      </w:r>
      <w:r>
        <w:rPr>
          <w:rFonts w:hint="eastAsia" w:ascii="Times New Roman" w:hAnsi="Times New Roman" w:eastAsia="仿宋_GB2312" w:cs="Times New Roman"/>
          <w:sz w:val="32"/>
          <w:szCs w:val="32"/>
          <w:u w:val="none"/>
          <w:lang w:val="en-US" w:eastAsia="zh-CN"/>
        </w:rPr>
        <w:t xml:space="preserve">4.6 </w:t>
      </w:r>
      <w:r>
        <w:rPr>
          <w:rFonts w:ascii="Times New Roman" w:hAnsi="Times New Roman" w:eastAsia="仿宋_GB2312" w:cs="Times New Roman"/>
          <w:sz w:val="32"/>
          <w:szCs w:val="32"/>
          <w:u w:val="none"/>
        </w:rPr>
        <w:t>万元，其中：政府采购货物支出</w:t>
      </w:r>
      <w:r>
        <w:rPr>
          <w:rFonts w:hint="eastAsia" w:ascii="Times New Roman" w:hAnsi="Times New Roman" w:eastAsia="仿宋_GB2312" w:cs="Times New Roman"/>
          <w:sz w:val="32"/>
          <w:szCs w:val="32"/>
          <w:u w:val="none"/>
          <w:lang w:val="en-US" w:eastAsia="zh-CN"/>
        </w:rPr>
        <w:t xml:space="preserve">4.6 </w:t>
      </w:r>
      <w:r>
        <w:rPr>
          <w:rFonts w:ascii="Times New Roman" w:hAnsi="Times New Roman" w:eastAsia="仿宋_GB2312" w:cs="Times New Roman"/>
          <w:sz w:val="32"/>
          <w:szCs w:val="32"/>
          <w:u w:val="none"/>
        </w:rPr>
        <w:t xml:space="preserve"> 万元、政府采购工程支出</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万元、政府采购服务支出</w:t>
      </w:r>
      <w:r>
        <w:rPr>
          <w:rFonts w:hint="eastAsia" w:ascii="Times New Roman" w:hAnsi="Times New Roman" w:eastAsia="仿宋_GB2312" w:cs="Times New Roman"/>
          <w:sz w:val="32"/>
          <w:szCs w:val="32"/>
          <w:u w:val="none"/>
          <w:lang w:val="en-US" w:eastAsia="zh-CN"/>
        </w:rPr>
        <w:t xml:space="preserve">  0 </w:t>
      </w:r>
      <w:r>
        <w:rPr>
          <w:rFonts w:ascii="Times New Roman" w:hAnsi="Times New Roman" w:eastAsia="仿宋_GB2312" w:cs="Times New Roman"/>
          <w:sz w:val="32"/>
          <w:szCs w:val="32"/>
          <w:u w:val="none"/>
        </w:rPr>
        <w:t>万元。授予中小企业合同金额</w:t>
      </w:r>
      <w:r>
        <w:rPr>
          <w:rFonts w:hint="eastAsia" w:ascii="Times New Roman" w:hAnsi="Times New Roman" w:eastAsia="仿宋_GB2312" w:cs="Times New Roman"/>
          <w:sz w:val="32"/>
          <w:szCs w:val="32"/>
          <w:u w:val="none"/>
          <w:lang w:val="en-US" w:eastAsia="zh-CN"/>
        </w:rPr>
        <w:t xml:space="preserve">4.6 </w:t>
      </w:r>
      <w:r>
        <w:rPr>
          <w:rFonts w:ascii="Times New Roman" w:hAnsi="Times New Roman" w:eastAsia="仿宋_GB2312" w:cs="Times New Roman"/>
          <w:sz w:val="32"/>
          <w:szCs w:val="32"/>
          <w:u w:val="none"/>
        </w:rPr>
        <w:t>万元，占政府采购支出总额的</w:t>
      </w:r>
      <w:r>
        <w:rPr>
          <w:rFonts w:hint="eastAsia" w:ascii="Times New Roman" w:hAnsi="Times New Roman" w:eastAsia="仿宋_GB2312" w:cs="Times New Roman"/>
          <w:sz w:val="32"/>
          <w:szCs w:val="32"/>
          <w:u w:val="none"/>
          <w:lang w:val="en-US" w:eastAsia="zh-CN"/>
        </w:rPr>
        <w:t>100</w:t>
      </w:r>
      <w:r>
        <w:rPr>
          <w:rFonts w:ascii="Times New Roman" w:hAnsi="Times New Roman" w:eastAsia="仿宋_GB2312" w:cs="Times New Roman"/>
          <w:sz w:val="32"/>
          <w:szCs w:val="32"/>
          <w:u w:val="none"/>
        </w:rPr>
        <w:t>%，其中：授予小微企业合同金额</w:t>
      </w:r>
      <w:r>
        <w:rPr>
          <w:rFonts w:hint="eastAsia" w:ascii="Times New Roman" w:hAnsi="Times New Roman" w:eastAsia="仿宋_GB2312" w:cs="Times New Roman"/>
          <w:sz w:val="32"/>
          <w:szCs w:val="32"/>
          <w:u w:val="none"/>
          <w:lang w:val="en-US" w:eastAsia="zh-CN"/>
        </w:rPr>
        <w:t>4.6</w:t>
      </w:r>
      <w:r>
        <w:rPr>
          <w:rFonts w:ascii="Times New Roman" w:hAnsi="Times New Roman" w:eastAsia="仿宋_GB2312" w:cs="Times New Roman"/>
          <w:sz w:val="32"/>
          <w:szCs w:val="32"/>
          <w:u w:val="none"/>
        </w:rPr>
        <w:t>万元，</w:t>
      </w:r>
      <w:r>
        <w:rPr>
          <w:rFonts w:ascii="Times New Roman" w:hAnsi="Times New Roman" w:eastAsia="仿宋_GB2312" w:cs="Times New Roman"/>
          <w:color w:val="auto"/>
          <w:sz w:val="32"/>
          <w:szCs w:val="32"/>
          <w:u w:val="none"/>
        </w:rPr>
        <w:t>占</w:t>
      </w:r>
      <w:r>
        <w:rPr>
          <w:rFonts w:hint="eastAsia" w:ascii="Times New Roman" w:hAnsi="Times New Roman" w:eastAsia="仿宋_GB2312" w:cs="Times New Roman"/>
          <w:color w:val="auto"/>
          <w:sz w:val="32"/>
          <w:szCs w:val="32"/>
          <w:u w:val="none"/>
          <w:lang w:eastAsia="zh-CN"/>
        </w:rPr>
        <w:t>政府采购支出总额的</w:t>
      </w:r>
      <w:r>
        <w:rPr>
          <w:rFonts w:hint="eastAsia" w:ascii="Times New Roman" w:hAnsi="Times New Roman" w:eastAsia="仿宋_GB2312" w:cs="Times New Roman"/>
          <w:sz w:val="32"/>
          <w:szCs w:val="32"/>
          <w:u w:val="none"/>
          <w:lang w:val="en-US" w:eastAsia="zh-CN"/>
        </w:rPr>
        <w:t xml:space="preserve">100 </w:t>
      </w:r>
      <w:r>
        <w:rPr>
          <w:rFonts w:ascii="Times New Roman" w:hAnsi="Times New Roman" w:eastAsia="仿宋_GB2312" w:cs="Times New Roman"/>
          <w:sz w:val="32"/>
          <w:szCs w:val="32"/>
          <w:u w:val="none"/>
        </w:rPr>
        <w:t>%</w:t>
      </w:r>
      <w:r>
        <w:rPr>
          <w:rFonts w:hint="eastAsia" w:ascii="Times New Roman" w:hAnsi="Times New Roman" w:eastAsia="仿宋_GB2312" w:cs="Times New Roman"/>
          <w:sz w:val="32"/>
          <w:szCs w:val="32"/>
          <w:u w:val="none"/>
          <w:lang w:eastAsia="zh-CN"/>
        </w:rPr>
        <w:t>。</w:t>
      </w:r>
    </w:p>
    <w:p w14:paraId="1259FC82">
      <w:pPr>
        <w:pStyle w:val="14"/>
        <w:overflowPunct w:val="0"/>
        <w:autoSpaceDE/>
        <w:autoSpaceDN/>
        <w:spacing w:line="600" w:lineRule="exact"/>
        <w:ind w:firstLine="640" w:firstLineChars="200"/>
        <w:jc w:val="both"/>
        <w:rPr>
          <w:rFonts w:ascii="Times New Roman" w:hAnsi="Times New Roman" w:cs="Times New Roman"/>
          <w:bCs/>
          <w:color w:val="auto"/>
          <w:sz w:val="32"/>
          <w:szCs w:val="32"/>
          <w:u w:val="none"/>
        </w:rPr>
      </w:pPr>
      <w:r>
        <w:rPr>
          <w:rFonts w:ascii="Times New Roman" w:hAnsi="Times New Roman" w:cs="Times New Roman"/>
          <w:bCs/>
          <w:color w:val="auto"/>
          <w:sz w:val="32"/>
          <w:szCs w:val="32"/>
          <w:u w:val="none"/>
        </w:rPr>
        <w:t>十二、关于国有资产占用情况说明</w:t>
      </w:r>
    </w:p>
    <w:p w14:paraId="4A804833">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截至202</w:t>
      </w:r>
      <w:r>
        <w:rPr>
          <w:rFonts w:hint="eastAsia" w:ascii="Times New Roman" w:hAnsi="Times New Roman" w:eastAsia="仿宋_GB2312" w:cs="Times New Roman"/>
          <w:color w:val="auto"/>
          <w:sz w:val="32"/>
          <w:szCs w:val="32"/>
          <w:u w:val="none"/>
          <w:lang w:val="en-US" w:eastAsia="zh-CN"/>
        </w:rPr>
        <w:t>5</w:t>
      </w:r>
      <w:r>
        <w:rPr>
          <w:rFonts w:ascii="Times New Roman" w:hAnsi="Times New Roman" w:eastAsia="仿宋_GB2312" w:cs="Times New Roman"/>
          <w:color w:val="auto"/>
          <w:sz w:val="32"/>
          <w:szCs w:val="32"/>
          <w:u w:val="none"/>
        </w:rPr>
        <w:t>年12月31日，部门（单位）共有车辆</w:t>
      </w:r>
      <w:r>
        <w:rPr>
          <w:rFonts w:hint="eastAsia" w:ascii="Times New Roman" w:hAnsi="Times New Roman" w:eastAsia="仿宋_GB2312" w:cs="Times New Roman"/>
          <w:color w:val="auto"/>
          <w:sz w:val="32"/>
          <w:szCs w:val="32"/>
          <w:u w:val="none"/>
          <w:lang w:val="en-US" w:eastAsia="zh-CN"/>
        </w:rPr>
        <w:t xml:space="preserve"> 1  </w:t>
      </w:r>
      <w:r>
        <w:rPr>
          <w:rFonts w:ascii="Times New Roman" w:hAnsi="Times New Roman" w:eastAsia="仿宋_GB2312" w:cs="Times New Roman"/>
          <w:color w:val="auto"/>
          <w:sz w:val="32"/>
          <w:szCs w:val="32"/>
          <w:u w:val="none"/>
        </w:rPr>
        <w:t>辆，其中，副部（省）级及以上领导用车</w:t>
      </w:r>
      <w:r>
        <w:rPr>
          <w:rFonts w:hint="eastAsia" w:ascii="Times New Roman" w:hAnsi="Times New Roman" w:eastAsia="仿宋_GB2312" w:cs="Times New Roman"/>
          <w:color w:val="auto"/>
          <w:sz w:val="32"/>
          <w:szCs w:val="32"/>
          <w:u w:val="none"/>
          <w:lang w:val="en-US" w:eastAsia="zh-CN"/>
        </w:rPr>
        <w:t xml:space="preserve"> 0  </w:t>
      </w:r>
      <w:r>
        <w:rPr>
          <w:rFonts w:ascii="Times New Roman" w:hAnsi="Times New Roman" w:eastAsia="仿宋_GB2312" w:cs="Times New Roman"/>
          <w:color w:val="auto"/>
          <w:sz w:val="32"/>
          <w:szCs w:val="32"/>
          <w:u w:val="none"/>
        </w:rPr>
        <w:t>辆、主要负责人用车</w:t>
      </w:r>
      <w:r>
        <w:rPr>
          <w:rFonts w:hint="eastAsia" w:ascii="Times New Roman" w:hAnsi="Times New Roman" w:eastAsia="仿宋_GB2312" w:cs="Times New Roman"/>
          <w:color w:val="auto"/>
          <w:sz w:val="32"/>
          <w:szCs w:val="32"/>
          <w:u w:val="none"/>
          <w:lang w:val="en-US" w:eastAsia="zh-CN"/>
        </w:rPr>
        <w:t xml:space="preserve"> 0  </w:t>
      </w:r>
      <w:r>
        <w:rPr>
          <w:rFonts w:ascii="Times New Roman" w:hAnsi="Times New Roman" w:eastAsia="仿宋_GB2312" w:cs="Times New Roman"/>
          <w:color w:val="auto"/>
          <w:sz w:val="32"/>
          <w:szCs w:val="32"/>
          <w:u w:val="none"/>
        </w:rPr>
        <w:t>辆、机要通信用车</w:t>
      </w:r>
      <w:r>
        <w:rPr>
          <w:rFonts w:hint="eastAsia" w:ascii="Times New Roman" w:hAnsi="Times New Roman" w:eastAsia="仿宋_GB2312" w:cs="Times New Roman"/>
          <w:color w:val="auto"/>
          <w:sz w:val="32"/>
          <w:szCs w:val="32"/>
          <w:u w:val="none"/>
          <w:lang w:val="en-US" w:eastAsia="zh-CN"/>
        </w:rPr>
        <w:t xml:space="preserve"> 0  </w:t>
      </w:r>
      <w:r>
        <w:rPr>
          <w:rFonts w:ascii="Times New Roman" w:hAnsi="Times New Roman" w:eastAsia="仿宋_GB2312" w:cs="Times New Roman"/>
          <w:color w:val="auto"/>
          <w:sz w:val="32"/>
          <w:szCs w:val="32"/>
          <w:u w:val="none"/>
        </w:rPr>
        <w:t>辆、应急保障用车</w:t>
      </w:r>
      <w:r>
        <w:rPr>
          <w:rFonts w:hint="eastAsia" w:ascii="Times New Roman" w:hAnsi="Times New Roman" w:eastAsia="仿宋_GB2312" w:cs="Times New Roman"/>
          <w:color w:val="auto"/>
          <w:sz w:val="32"/>
          <w:szCs w:val="32"/>
          <w:u w:val="none"/>
          <w:lang w:val="en-US" w:eastAsia="zh-CN"/>
        </w:rPr>
        <w:t xml:space="preserve"> 0  </w:t>
      </w:r>
      <w:r>
        <w:rPr>
          <w:rFonts w:ascii="Times New Roman" w:hAnsi="Times New Roman" w:eastAsia="仿宋_GB2312" w:cs="Times New Roman"/>
          <w:color w:val="auto"/>
          <w:sz w:val="32"/>
          <w:szCs w:val="32"/>
          <w:u w:val="none"/>
        </w:rPr>
        <w:t>辆、执法执勤用车</w:t>
      </w:r>
      <w:r>
        <w:rPr>
          <w:rFonts w:hint="eastAsia" w:ascii="Times New Roman" w:hAnsi="Times New Roman" w:eastAsia="仿宋_GB2312" w:cs="Times New Roman"/>
          <w:color w:val="auto"/>
          <w:sz w:val="32"/>
          <w:szCs w:val="32"/>
          <w:u w:val="none"/>
          <w:lang w:val="en-US" w:eastAsia="zh-CN"/>
        </w:rPr>
        <w:t xml:space="preserve"> 0  </w:t>
      </w:r>
      <w:r>
        <w:rPr>
          <w:rFonts w:ascii="Times New Roman" w:hAnsi="Times New Roman" w:eastAsia="仿宋_GB2312" w:cs="Times New Roman"/>
          <w:color w:val="auto"/>
          <w:sz w:val="32"/>
          <w:szCs w:val="32"/>
          <w:u w:val="none"/>
        </w:rPr>
        <w:t>辆、特种专业技术用车</w:t>
      </w:r>
      <w:r>
        <w:rPr>
          <w:rFonts w:hint="eastAsia" w:ascii="Times New Roman" w:hAnsi="Times New Roman" w:eastAsia="仿宋_GB2312" w:cs="Times New Roman"/>
          <w:color w:val="auto"/>
          <w:sz w:val="32"/>
          <w:szCs w:val="32"/>
          <w:u w:val="none"/>
          <w:lang w:val="en-US" w:eastAsia="zh-CN"/>
        </w:rPr>
        <w:t xml:space="preserve"> 1  </w:t>
      </w:r>
      <w:r>
        <w:rPr>
          <w:rFonts w:ascii="Times New Roman" w:hAnsi="Times New Roman" w:eastAsia="仿宋_GB2312" w:cs="Times New Roman"/>
          <w:color w:val="auto"/>
          <w:sz w:val="32"/>
          <w:szCs w:val="32"/>
          <w:u w:val="none"/>
        </w:rPr>
        <w:t>辆、离退休干部服务用车</w:t>
      </w:r>
      <w:r>
        <w:rPr>
          <w:rFonts w:hint="eastAsia" w:ascii="Times New Roman" w:hAnsi="Times New Roman" w:eastAsia="仿宋_GB2312" w:cs="Times New Roman"/>
          <w:color w:val="auto"/>
          <w:sz w:val="32"/>
          <w:szCs w:val="32"/>
          <w:u w:val="none"/>
          <w:lang w:val="en-US" w:eastAsia="zh-CN"/>
        </w:rPr>
        <w:t xml:space="preserve"> 0  </w:t>
      </w:r>
      <w:r>
        <w:rPr>
          <w:rFonts w:ascii="Times New Roman" w:hAnsi="Times New Roman" w:eastAsia="仿宋_GB2312" w:cs="Times New Roman"/>
          <w:color w:val="auto"/>
          <w:sz w:val="32"/>
          <w:szCs w:val="32"/>
          <w:u w:val="none"/>
        </w:rPr>
        <w:t>辆、其他用车</w:t>
      </w:r>
      <w:r>
        <w:rPr>
          <w:rFonts w:hint="eastAsia" w:ascii="Times New Roman" w:hAnsi="Times New Roman" w:eastAsia="仿宋_GB2312" w:cs="Times New Roman"/>
          <w:color w:val="auto"/>
          <w:sz w:val="32"/>
          <w:szCs w:val="32"/>
          <w:u w:val="none"/>
          <w:lang w:val="en-US" w:eastAsia="zh-CN"/>
        </w:rPr>
        <w:t xml:space="preserve"> 0  </w:t>
      </w:r>
      <w:r>
        <w:rPr>
          <w:rFonts w:ascii="Times New Roman" w:hAnsi="Times New Roman" w:eastAsia="仿宋_GB2312" w:cs="Times New Roman"/>
          <w:color w:val="auto"/>
          <w:sz w:val="32"/>
          <w:szCs w:val="32"/>
          <w:u w:val="none"/>
        </w:rPr>
        <w:t>辆，；单位价值100万元以上设备（不含车辆）</w:t>
      </w:r>
      <w:r>
        <w:rPr>
          <w:rFonts w:hint="eastAsia" w:ascii="Times New Roman" w:hAnsi="Times New Roman" w:eastAsia="仿宋_GB2312" w:cs="Times New Roman"/>
          <w:color w:val="auto"/>
          <w:sz w:val="32"/>
          <w:szCs w:val="32"/>
          <w:u w:val="none"/>
          <w:lang w:val="en-US" w:eastAsia="zh-CN"/>
        </w:rPr>
        <w:t xml:space="preserve"> 0  </w:t>
      </w:r>
      <w:r>
        <w:rPr>
          <w:rFonts w:ascii="Times New Roman" w:hAnsi="Times New Roman" w:eastAsia="仿宋_GB2312" w:cs="Times New Roman"/>
          <w:color w:val="auto"/>
          <w:sz w:val="32"/>
          <w:szCs w:val="32"/>
          <w:u w:val="none"/>
        </w:rPr>
        <w:t>台（套）。</w:t>
      </w:r>
    </w:p>
    <w:p w14:paraId="7C279249">
      <w:pPr>
        <w:pStyle w:val="14"/>
        <w:overflowPunct w:val="0"/>
        <w:autoSpaceDE/>
        <w:autoSpaceDN/>
        <w:spacing w:line="600" w:lineRule="exact"/>
        <w:ind w:firstLine="640" w:firstLineChars="200"/>
        <w:jc w:val="both"/>
        <w:rPr>
          <w:rFonts w:ascii="Times New Roman" w:hAnsi="Times New Roman" w:cs="Times New Roman"/>
          <w:bCs/>
          <w:color w:val="auto"/>
          <w:sz w:val="32"/>
          <w:szCs w:val="32"/>
          <w:u w:val="none"/>
        </w:rPr>
      </w:pPr>
      <w:r>
        <w:rPr>
          <w:rFonts w:ascii="Times New Roman" w:hAnsi="Times New Roman" w:cs="Times New Roman"/>
          <w:bCs/>
          <w:color w:val="auto"/>
          <w:sz w:val="32"/>
          <w:szCs w:val="32"/>
          <w:u w:val="none"/>
        </w:rPr>
        <w:t>十三、关于</w:t>
      </w:r>
      <w:r>
        <w:rPr>
          <w:rFonts w:ascii="Times New Roman" w:hAnsi="Times New Roman" w:eastAsia="仿宋_GB2312" w:cs="Times New Roman"/>
          <w:color w:val="auto"/>
          <w:sz w:val="32"/>
          <w:szCs w:val="32"/>
          <w:u w:val="none"/>
        </w:rPr>
        <w:t>202</w:t>
      </w:r>
      <w:r>
        <w:rPr>
          <w:rFonts w:hint="eastAsia" w:ascii="Times New Roman" w:hAnsi="Times New Roman" w:eastAsia="仿宋_GB2312" w:cs="Times New Roman"/>
          <w:color w:val="auto"/>
          <w:sz w:val="32"/>
          <w:szCs w:val="32"/>
          <w:u w:val="none"/>
          <w:lang w:val="en-US" w:eastAsia="zh-CN"/>
        </w:rPr>
        <w:t>5</w:t>
      </w:r>
      <w:r>
        <w:rPr>
          <w:rFonts w:ascii="Times New Roman" w:hAnsi="Times New Roman" w:cs="Times New Roman"/>
          <w:bCs/>
          <w:color w:val="auto"/>
          <w:sz w:val="32"/>
          <w:szCs w:val="32"/>
          <w:u w:val="none"/>
        </w:rPr>
        <w:t>年度预算绩效情况的说明</w:t>
      </w:r>
    </w:p>
    <w:p w14:paraId="3C747503">
      <w:pPr>
        <w:overflowPunct w:val="0"/>
        <w:spacing w:line="600" w:lineRule="exact"/>
        <w:ind w:firstLine="640" w:firstLineChars="200"/>
        <w:rPr>
          <w:rFonts w:ascii="Times New Roman" w:hAnsi="Times New Roman" w:eastAsia="仿宋_GB2312" w:cs="Times New Roman"/>
          <w:kern w:val="0"/>
          <w:sz w:val="32"/>
          <w:szCs w:val="32"/>
          <w:u w:val="none"/>
        </w:rPr>
      </w:pPr>
      <w:r>
        <w:rPr>
          <w:rFonts w:ascii="Times New Roman" w:hAnsi="Times New Roman" w:eastAsia="楷体_GB2312" w:cs="Times New Roman"/>
          <w:b/>
          <w:bCs/>
          <w:sz w:val="32"/>
          <w:szCs w:val="32"/>
          <w:u w:val="none"/>
        </w:rPr>
        <w:t>（一）绩效评价工作开展情况。</w:t>
      </w:r>
      <w:r>
        <w:rPr>
          <w:rFonts w:ascii="Times New Roman" w:hAnsi="Times New Roman" w:eastAsia="仿宋_GB2312" w:cs="Times New Roman"/>
          <w:b/>
          <w:bCs/>
          <w:kern w:val="0"/>
          <w:sz w:val="32"/>
          <w:szCs w:val="32"/>
          <w:u w:val="none"/>
        </w:rPr>
        <w:t>一是绩效自评开展情况。</w:t>
      </w:r>
      <w:r>
        <w:rPr>
          <w:rFonts w:ascii="Times New Roman" w:hAnsi="Times New Roman" w:eastAsia="仿宋_GB2312" w:cs="Times New Roman"/>
          <w:kern w:val="0"/>
          <w:sz w:val="32"/>
          <w:szCs w:val="32"/>
          <w:u w:val="none"/>
        </w:rPr>
        <w:t>组织对202</w:t>
      </w:r>
      <w:r>
        <w:rPr>
          <w:rFonts w:hint="eastAsia" w:ascii="Times New Roman" w:hAnsi="Times New Roman" w:eastAsia="仿宋_GB2312" w:cs="Times New Roman"/>
          <w:kern w:val="0"/>
          <w:sz w:val="32"/>
          <w:szCs w:val="32"/>
          <w:u w:val="none"/>
          <w:lang w:val="en-US" w:eastAsia="zh-CN"/>
        </w:rPr>
        <w:t>5</w:t>
      </w:r>
      <w:r>
        <w:rPr>
          <w:rFonts w:ascii="Times New Roman" w:hAnsi="Times New Roman" w:eastAsia="仿宋_GB2312" w:cs="Times New Roman"/>
          <w:kern w:val="0"/>
          <w:sz w:val="32"/>
          <w:szCs w:val="32"/>
          <w:u w:val="none"/>
        </w:rPr>
        <w:t>年度本部门（单位）整体支出开展绩效自评，涉及项目</w:t>
      </w:r>
      <w:r>
        <w:rPr>
          <w:rFonts w:hint="eastAsia" w:ascii="Times New Roman" w:hAnsi="Times New Roman" w:eastAsia="仿宋_GB2312" w:cs="Times New Roman"/>
          <w:kern w:val="0"/>
          <w:sz w:val="32"/>
          <w:szCs w:val="32"/>
          <w:u w:val="none"/>
          <w:lang w:val="en-US" w:eastAsia="zh-CN"/>
        </w:rPr>
        <w:t>1</w:t>
      </w:r>
      <w:r>
        <w:rPr>
          <w:rFonts w:ascii="Times New Roman" w:hAnsi="Times New Roman" w:eastAsia="仿宋_GB2312" w:cs="Times New Roman"/>
          <w:kern w:val="0"/>
          <w:sz w:val="32"/>
          <w:szCs w:val="32"/>
          <w:u w:val="none"/>
        </w:rPr>
        <w:t>个，共涉及资金</w:t>
      </w:r>
      <w:r>
        <w:rPr>
          <w:rFonts w:hint="eastAsia" w:ascii="Times New Roman" w:hAnsi="Times New Roman" w:eastAsia="仿宋_GB2312" w:cs="Times New Roman"/>
          <w:kern w:val="0"/>
          <w:sz w:val="32"/>
          <w:szCs w:val="32"/>
          <w:u w:val="none"/>
          <w:lang w:val="en-US" w:eastAsia="zh-CN"/>
        </w:rPr>
        <w:t>1961.56</w:t>
      </w:r>
      <w:r>
        <w:rPr>
          <w:rFonts w:ascii="Times New Roman" w:hAnsi="Times New Roman" w:eastAsia="仿宋_GB2312" w:cs="Times New Roman"/>
          <w:kern w:val="0"/>
          <w:sz w:val="32"/>
          <w:szCs w:val="32"/>
          <w:u w:val="none"/>
        </w:rPr>
        <w:t>万元。其中，一般公共预算项目</w:t>
      </w:r>
      <w:r>
        <w:rPr>
          <w:rFonts w:hint="eastAsia" w:ascii="Times New Roman" w:hAnsi="Times New Roman" w:eastAsia="仿宋_GB2312" w:cs="Times New Roman"/>
          <w:kern w:val="0"/>
          <w:sz w:val="32"/>
          <w:szCs w:val="32"/>
          <w:u w:val="none"/>
          <w:lang w:val="en-US" w:eastAsia="zh-CN"/>
        </w:rPr>
        <w:t>1</w:t>
      </w:r>
      <w:r>
        <w:rPr>
          <w:rFonts w:ascii="Times New Roman" w:hAnsi="Times New Roman" w:eastAsia="仿宋_GB2312" w:cs="Times New Roman"/>
          <w:kern w:val="0"/>
          <w:sz w:val="32"/>
          <w:szCs w:val="32"/>
          <w:u w:val="none"/>
        </w:rPr>
        <w:t xml:space="preserve"> 个</w:t>
      </w:r>
      <w:r>
        <w:rPr>
          <w:rFonts w:hint="eastAsia" w:ascii="Times New Roman" w:hAnsi="Times New Roman" w:eastAsia="仿宋_GB2312" w:cs="Times New Roman"/>
          <w:kern w:val="0"/>
          <w:sz w:val="32"/>
          <w:szCs w:val="32"/>
          <w:u w:val="none"/>
          <w:lang w:val="en-US" w:eastAsia="zh-CN"/>
        </w:rPr>
        <w:t>1120.00</w:t>
      </w:r>
      <w:r>
        <w:rPr>
          <w:rFonts w:ascii="Times New Roman" w:hAnsi="Times New Roman" w:eastAsia="仿宋_GB2312" w:cs="Times New Roman"/>
          <w:kern w:val="0"/>
          <w:sz w:val="32"/>
          <w:szCs w:val="32"/>
          <w:u w:val="none"/>
        </w:rPr>
        <w:t xml:space="preserve"> 万元，占一般公共预算支出总额的</w:t>
      </w:r>
      <w:r>
        <w:rPr>
          <w:rFonts w:hint="eastAsia" w:ascii="Times New Roman" w:hAnsi="Times New Roman" w:eastAsia="仿宋_GB2312" w:cs="Times New Roman"/>
          <w:kern w:val="0"/>
          <w:sz w:val="32"/>
          <w:szCs w:val="32"/>
          <w:u w:val="none"/>
          <w:lang w:val="en-US" w:eastAsia="zh-CN"/>
        </w:rPr>
        <w:t>57.10</w:t>
      </w:r>
      <w:r>
        <w:rPr>
          <w:rFonts w:ascii="Times New Roman" w:hAnsi="Times New Roman" w:eastAsia="仿宋_GB2312" w:cs="Times New Roman"/>
          <w:kern w:val="0"/>
          <w:sz w:val="32"/>
          <w:szCs w:val="32"/>
          <w:u w:val="none"/>
        </w:rPr>
        <w:t>%；政府性基金预算项目</w:t>
      </w:r>
      <w:r>
        <w:rPr>
          <w:rFonts w:hint="eastAsia" w:ascii="Times New Roman" w:hAnsi="Times New Roman" w:eastAsia="仿宋_GB2312" w:cs="Times New Roman"/>
          <w:kern w:val="0"/>
          <w:sz w:val="32"/>
          <w:szCs w:val="32"/>
          <w:u w:val="none"/>
          <w:lang w:val="en-US" w:eastAsia="zh-CN"/>
        </w:rPr>
        <w:t>1</w:t>
      </w:r>
      <w:r>
        <w:rPr>
          <w:rFonts w:ascii="Times New Roman" w:hAnsi="Times New Roman" w:eastAsia="仿宋_GB2312" w:cs="Times New Roman"/>
          <w:kern w:val="0"/>
          <w:sz w:val="32"/>
          <w:szCs w:val="32"/>
          <w:u w:val="none"/>
        </w:rPr>
        <w:t xml:space="preserve"> 个</w:t>
      </w:r>
      <w:r>
        <w:rPr>
          <w:rFonts w:hint="eastAsia" w:ascii="Times New Roman" w:hAnsi="Times New Roman" w:eastAsia="仿宋_GB2312" w:cs="Times New Roman"/>
          <w:kern w:val="0"/>
          <w:sz w:val="32"/>
          <w:szCs w:val="32"/>
          <w:u w:val="none"/>
          <w:lang w:val="en-US" w:eastAsia="zh-CN"/>
        </w:rPr>
        <w:t>841.56</w:t>
      </w:r>
      <w:r>
        <w:rPr>
          <w:rFonts w:ascii="Times New Roman" w:hAnsi="Times New Roman" w:eastAsia="仿宋_GB2312" w:cs="Times New Roman"/>
          <w:kern w:val="0"/>
          <w:sz w:val="32"/>
          <w:szCs w:val="32"/>
          <w:u w:val="none"/>
        </w:rPr>
        <w:t xml:space="preserve"> 万元，占政府性基金预算支出总额的</w:t>
      </w:r>
      <w:r>
        <w:rPr>
          <w:rFonts w:hint="eastAsia" w:ascii="Times New Roman" w:hAnsi="Times New Roman" w:eastAsia="仿宋_GB2312" w:cs="Times New Roman"/>
          <w:kern w:val="0"/>
          <w:sz w:val="32"/>
          <w:szCs w:val="32"/>
          <w:u w:val="none"/>
          <w:lang w:val="en-US" w:eastAsia="zh-CN"/>
        </w:rPr>
        <w:t>42.90</w:t>
      </w:r>
      <w:r>
        <w:rPr>
          <w:rFonts w:ascii="Times New Roman" w:hAnsi="Times New Roman" w:eastAsia="仿宋_GB2312" w:cs="Times New Roman"/>
          <w:kern w:val="0"/>
          <w:sz w:val="32"/>
          <w:szCs w:val="32"/>
          <w:u w:val="none"/>
        </w:rPr>
        <w:t>%；国有资本经营预算项目</w:t>
      </w:r>
      <w:r>
        <w:rPr>
          <w:rFonts w:hint="eastAsia" w:ascii="Times New Roman" w:hAnsi="Times New Roman" w:eastAsia="仿宋_GB2312" w:cs="Times New Roman"/>
          <w:kern w:val="0"/>
          <w:sz w:val="32"/>
          <w:szCs w:val="32"/>
          <w:u w:val="none"/>
          <w:lang w:val="en-US" w:eastAsia="zh-CN"/>
        </w:rPr>
        <w:t>0</w:t>
      </w:r>
      <w:r>
        <w:rPr>
          <w:rFonts w:ascii="Times New Roman" w:hAnsi="Times New Roman" w:eastAsia="仿宋_GB2312" w:cs="Times New Roman"/>
          <w:kern w:val="0"/>
          <w:sz w:val="32"/>
          <w:szCs w:val="32"/>
          <w:u w:val="none"/>
        </w:rPr>
        <w:t xml:space="preserve"> 个</w:t>
      </w:r>
      <w:r>
        <w:rPr>
          <w:rFonts w:hint="eastAsia" w:ascii="Times New Roman" w:hAnsi="Times New Roman" w:eastAsia="仿宋_GB2312" w:cs="Times New Roman"/>
          <w:kern w:val="0"/>
          <w:sz w:val="32"/>
          <w:szCs w:val="32"/>
          <w:u w:val="none"/>
          <w:lang w:val="en-US" w:eastAsia="zh-CN"/>
        </w:rPr>
        <w:t>0</w:t>
      </w:r>
      <w:r>
        <w:rPr>
          <w:rFonts w:ascii="Times New Roman" w:hAnsi="Times New Roman" w:eastAsia="仿宋_GB2312" w:cs="Times New Roman"/>
          <w:kern w:val="0"/>
          <w:sz w:val="32"/>
          <w:szCs w:val="32"/>
          <w:u w:val="none"/>
        </w:rPr>
        <w:t xml:space="preserve"> 万元，占国有资本经营预算支出总额的</w:t>
      </w:r>
      <w:r>
        <w:rPr>
          <w:rFonts w:hint="eastAsia" w:ascii="Times New Roman" w:hAnsi="Times New Roman" w:eastAsia="仿宋_GB2312" w:cs="Times New Roman"/>
          <w:kern w:val="0"/>
          <w:sz w:val="32"/>
          <w:szCs w:val="32"/>
          <w:u w:val="none"/>
          <w:lang w:val="en-US" w:eastAsia="zh-CN"/>
        </w:rPr>
        <w:t>0</w:t>
      </w:r>
      <w:r>
        <w:rPr>
          <w:rFonts w:ascii="Times New Roman" w:hAnsi="Times New Roman" w:eastAsia="仿宋_GB2312" w:cs="Times New Roman"/>
          <w:kern w:val="0"/>
          <w:sz w:val="32"/>
          <w:szCs w:val="32"/>
          <w:u w:val="none"/>
        </w:rPr>
        <w:t>%；社会保险基金预算项目</w:t>
      </w:r>
      <w:r>
        <w:rPr>
          <w:rFonts w:hint="eastAsia" w:ascii="Times New Roman" w:hAnsi="Times New Roman" w:eastAsia="仿宋_GB2312" w:cs="Times New Roman"/>
          <w:kern w:val="0"/>
          <w:sz w:val="32"/>
          <w:szCs w:val="32"/>
          <w:u w:val="none"/>
          <w:lang w:val="en-US" w:eastAsia="zh-CN"/>
        </w:rPr>
        <w:t>0</w:t>
      </w:r>
      <w:r>
        <w:rPr>
          <w:rFonts w:ascii="Times New Roman" w:hAnsi="Times New Roman" w:eastAsia="仿宋_GB2312" w:cs="Times New Roman"/>
          <w:kern w:val="0"/>
          <w:sz w:val="32"/>
          <w:szCs w:val="32"/>
          <w:u w:val="none"/>
        </w:rPr>
        <w:t xml:space="preserve"> 个</w:t>
      </w:r>
      <w:r>
        <w:rPr>
          <w:rFonts w:hint="eastAsia" w:ascii="Times New Roman" w:hAnsi="Times New Roman" w:eastAsia="仿宋_GB2312" w:cs="Times New Roman"/>
          <w:kern w:val="0"/>
          <w:sz w:val="32"/>
          <w:szCs w:val="32"/>
          <w:u w:val="none"/>
          <w:lang w:val="en-US" w:eastAsia="zh-CN"/>
        </w:rPr>
        <w:t>0</w:t>
      </w:r>
      <w:r>
        <w:rPr>
          <w:rFonts w:ascii="Times New Roman" w:hAnsi="Times New Roman" w:eastAsia="仿宋_GB2312" w:cs="Times New Roman"/>
          <w:kern w:val="0"/>
          <w:sz w:val="32"/>
          <w:szCs w:val="32"/>
          <w:u w:val="none"/>
        </w:rPr>
        <w:t xml:space="preserve"> 万元，占社会保险基金预算支出总额的</w:t>
      </w:r>
      <w:r>
        <w:rPr>
          <w:rFonts w:hint="eastAsia" w:ascii="Times New Roman" w:hAnsi="Times New Roman" w:eastAsia="仿宋_GB2312" w:cs="Times New Roman"/>
          <w:kern w:val="0"/>
          <w:sz w:val="32"/>
          <w:szCs w:val="32"/>
          <w:u w:val="none"/>
          <w:lang w:val="en-US" w:eastAsia="zh-CN"/>
        </w:rPr>
        <w:t>0</w:t>
      </w:r>
      <w:r>
        <w:rPr>
          <w:rFonts w:ascii="Times New Roman" w:hAnsi="Times New Roman" w:eastAsia="仿宋_GB2312" w:cs="Times New Roman"/>
          <w:kern w:val="0"/>
          <w:sz w:val="32"/>
          <w:szCs w:val="32"/>
          <w:u w:val="none"/>
        </w:rPr>
        <w:t>%。</w:t>
      </w:r>
      <w:r>
        <w:rPr>
          <w:rFonts w:ascii="Times New Roman" w:hAnsi="Times New Roman" w:eastAsia="仿宋_GB2312" w:cs="Times New Roman"/>
          <w:b/>
          <w:bCs/>
          <w:kern w:val="0"/>
          <w:sz w:val="32"/>
          <w:szCs w:val="32"/>
          <w:u w:val="none"/>
        </w:rPr>
        <w:t>二是部门评价开展情况</w:t>
      </w:r>
      <w:r>
        <w:rPr>
          <w:rFonts w:hint="eastAsia" w:ascii="Times New Roman" w:hAnsi="Times New Roman" w:eastAsia="仿宋_GB2312" w:cs="Times New Roman"/>
          <w:b/>
          <w:bCs/>
          <w:kern w:val="0"/>
          <w:sz w:val="32"/>
          <w:szCs w:val="32"/>
          <w:u w:val="none"/>
          <w:lang w:val="en-US" w:eastAsia="zh-CN"/>
        </w:rPr>
        <w:t>:</w:t>
      </w:r>
      <w:r>
        <w:rPr>
          <w:rFonts w:ascii="Times New Roman" w:hAnsi="Times New Roman" w:eastAsia="仿宋_GB2312" w:cs="Times New Roman"/>
          <w:kern w:val="0"/>
          <w:sz w:val="32"/>
          <w:szCs w:val="32"/>
          <w:u w:val="none"/>
        </w:rPr>
        <w:t>组织对所属单位“202</w:t>
      </w:r>
      <w:r>
        <w:rPr>
          <w:rFonts w:hint="eastAsia" w:ascii="Times New Roman" w:hAnsi="Times New Roman" w:eastAsia="仿宋_GB2312" w:cs="Times New Roman"/>
          <w:kern w:val="0"/>
          <w:sz w:val="32"/>
          <w:szCs w:val="32"/>
          <w:u w:val="none"/>
          <w:lang w:val="en-US" w:eastAsia="zh-CN"/>
        </w:rPr>
        <w:t>5</w:t>
      </w:r>
      <w:r>
        <w:rPr>
          <w:rFonts w:ascii="Times New Roman" w:hAnsi="Times New Roman" w:eastAsia="仿宋_GB2312" w:cs="Times New Roman"/>
          <w:kern w:val="0"/>
          <w:sz w:val="32"/>
          <w:szCs w:val="32"/>
          <w:u w:val="none"/>
        </w:rPr>
        <w:t>年度</w:t>
      </w:r>
      <w:r>
        <w:rPr>
          <w:rFonts w:hint="eastAsia" w:ascii="Times New Roman" w:hAnsi="Times New Roman" w:eastAsia="仿宋_GB2312" w:cs="Times New Roman"/>
          <w:kern w:val="0"/>
          <w:sz w:val="32"/>
          <w:szCs w:val="32"/>
          <w:u w:val="none"/>
          <w:lang w:eastAsia="zh-CN"/>
        </w:rPr>
        <w:t>非税收入执收成本返还经费</w:t>
      </w:r>
      <w:r>
        <w:rPr>
          <w:rFonts w:ascii="Times New Roman" w:hAnsi="Times New Roman" w:eastAsia="仿宋_GB2312" w:cs="Times New Roman"/>
          <w:kern w:val="0"/>
          <w:sz w:val="32"/>
          <w:szCs w:val="32"/>
          <w:u w:val="none"/>
        </w:rPr>
        <w:t>”等</w:t>
      </w:r>
      <w:r>
        <w:rPr>
          <w:rFonts w:hint="eastAsia" w:ascii="Times New Roman" w:hAnsi="Times New Roman" w:eastAsia="仿宋_GB2312" w:cs="Times New Roman"/>
          <w:kern w:val="0"/>
          <w:sz w:val="32"/>
          <w:szCs w:val="32"/>
          <w:u w:val="none"/>
          <w:lang w:val="en-US" w:eastAsia="zh-CN"/>
        </w:rPr>
        <w:t>1</w:t>
      </w:r>
      <w:r>
        <w:rPr>
          <w:rFonts w:ascii="Times New Roman" w:hAnsi="Times New Roman" w:eastAsia="仿宋_GB2312" w:cs="Times New Roman"/>
          <w:kern w:val="0"/>
          <w:sz w:val="32"/>
          <w:szCs w:val="32"/>
          <w:u w:val="none"/>
        </w:rPr>
        <w:t>个项目开展了部门评价，涉及一般公共预算支出</w:t>
      </w:r>
      <w:r>
        <w:rPr>
          <w:rFonts w:hint="eastAsia" w:ascii="Times New Roman" w:hAnsi="Times New Roman" w:eastAsia="仿宋_GB2312" w:cs="Times New Roman"/>
          <w:kern w:val="0"/>
          <w:sz w:val="32"/>
          <w:szCs w:val="32"/>
          <w:u w:val="none"/>
          <w:lang w:val="en-US" w:eastAsia="zh-CN"/>
        </w:rPr>
        <w:t>310</w:t>
      </w:r>
      <w:r>
        <w:rPr>
          <w:rFonts w:ascii="Times New Roman" w:hAnsi="Times New Roman" w:eastAsia="仿宋_GB2312" w:cs="Times New Roman"/>
          <w:kern w:val="0"/>
          <w:sz w:val="32"/>
          <w:szCs w:val="32"/>
          <w:u w:val="none"/>
        </w:rPr>
        <w:t>万元，政府性基金预算支出</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kern w:val="0"/>
          <w:sz w:val="32"/>
          <w:szCs w:val="32"/>
          <w:u w:val="none"/>
        </w:rPr>
        <w:t>万元，国有资本经营预算支出</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kern w:val="0"/>
          <w:sz w:val="32"/>
          <w:szCs w:val="32"/>
          <w:u w:val="none"/>
        </w:rPr>
        <w:t>万元，社会保险基金预算支出</w:t>
      </w:r>
      <w:r>
        <w:rPr>
          <w:rFonts w:hint="eastAsia" w:ascii="Times New Roman" w:hAnsi="Times New Roman" w:eastAsia="仿宋_GB2312" w:cs="Times New Roman"/>
          <w:sz w:val="32"/>
          <w:szCs w:val="32"/>
          <w:u w:val="none"/>
          <w:lang w:val="en-US" w:eastAsia="zh-CN"/>
        </w:rPr>
        <w:t>0</w:t>
      </w:r>
      <w:r>
        <w:rPr>
          <w:rFonts w:ascii="Times New Roman" w:hAnsi="Times New Roman" w:eastAsia="仿宋_GB2312" w:cs="Times New Roman"/>
          <w:kern w:val="0"/>
          <w:sz w:val="32"/>
          <w:szCs w:val="32"/>
          <w:u w:val="none"/>
        </w:rPr>
        <w:t>万元。</w:t>
      </w:r>
    </w:p>
    <w:p w14:paraId="35883E44">
      <w:pPr>
        <w:overflowPunct w:val="0"/>
        <w:spacing w:line="600" w:lineRule="exact"/>
        <w:ind w:firstLine="640" w:firstLineChars="200"/>
        <w:rPr>
          <w:rFonts w:ascii="Times New Roman" w:hAnsi="Times New Roman" w:eastAsia="仿宋_GB2312" w:cs="Times New Roman"/>
          <w:bCs/>
          <w:sz w:val="32"/>
          <w:szCs w:val="32"/>
          <w:u w:val="none"/>
        </w:rPr>
      </w:pPr>
      <w:r>
        <w:rPr>
          <w:rFonts w:ascii="Times New Roman" w:hAnsi="Times New Roman" w:eastAsia="楷体_GB2312" w:cs="Times New Roman"/>
          <w:b/>
          <w:bCs/>
          <w:sz w:val="32"/>
          <w:szCs w:val="32"/>
          <w:u w:val="none"/>
        </w:rPr>
        <w:t>（二）绩效评价结果。</w:t>
      </w:r>
      <w:r>
        <w:rPr>
          <w:rFonts w:ascii="Times New Roman" w:hAnsi="Times New Roman" w:eastAsia="仿宋_GB2312" w:cs="Times New Roman"/>
          <w:b/>
          <w:bCs/>
          <w:kern w:val="0"/>
          <w:sz w:val="32"/>
          <w:szCs w:val="32"/>
          <w:u w:val="none"/>
        </w:rPr>
        <w:t>一是绩效自评结果。</w:t>
      </w:r>
      <w:r>
        <w:rPr>
          <w:rFonts w:ascii="Times New Roman" w:hAnsi="Times New Roman" w:eastAsia="仿宋_GB2312" w:cs="Times New Roman"/>
          <w:kern w:val="0"/>
          <w:sz w:val="32"/>
          <w:szCs w:val="32"/>
          <w:u w:val="none"/>
        </w:rPr>
        <w:t>202</w:t>
      </w:r>
      <w:r>
        <w:rPr>
          <w:rFonts w:hint="eastAsia" w:ascii="Times New Roman" w:hAnsi="Times New Roman" w:eastAsia="仿宋_GB2312" w:cs="Times New Roman"/>
          <w:kern w:val="0"/>
          <w:sz w:val="32"/>
          <w:szCs w:val="32"/>
          <w:u w:val="none"/>
          <w:lang w:val="en-US" w:eastAsia="zh-CN"/>
        </w:rPr>
        <w:t>5</w:t>
      </w:r>
      <w:r>
        <w:rPr>
          <w:rFonts w:ascii="Times New Roman" w:hAnsi="Times New Roman" w:eastAsia="仿宋_GB2312" w:cs="Times New Roman"/>
          <w:kern w:val="0"/>
          <w:sz w:val="32"/>
          <w:szCs w:val="32"/>
          <w:u w:val="none"/>
        </w:rPr>
        <w:t>年度本部门（单位）整体支出</w:t>
      </w:r>
      <w:r>
        <w:rPr>
          <w:rFonts w:ascii="Times New Roman" w:hAnsi="Times New Roman" w:eastAsia="仿宋_GB2312" w:cs="Times New Roman"/>
          <w:sz w:val="32"/>
          <w:szCs w:val="32"/>
          <w:u w:val="none"/>
        </w:rPr>
        <w:t>全年预算数</w:t>
      </w:r>
      <w:r>
        <w:rPr>
          <w:rFonts w:hint="eastAsia" w:ascii="Times New Roman" w:hAnsi="Times New Roman" w:eastAsia="仿宋_GB2312" w:cs="Times New Roman"/>
          <w:sz w:val="32"/>
          <w:szCs w:val="32"/>
          <w:u w:val="none"/>
          <w:lang w:val="en-US" w:eastAsia="zh-CN"/>
        </w:rPr>
        <w:t>756.03</w:t>
      </w:r>
      <w:r>
        <w:rPr>
          <w:rFonts w:ascii="Times New Roman" w:hAnsi="Times New Roman" w:eastAsia="仿宋_GB2312" w:cs="Times New Roman"/>
          <w:sz w:val="32"/>
          <w:szCs w:val="32"/>
          <w:u w:val="none"/>
        </w:rPr>
        <w:t>万元，执行数</w:t>
      </w:r>
      <w:r>
        <w:rPr>
          <w:rFonts w:hint="eastAsia" w:ascii="Times New Roman" w:hAnsi="Times New Roman" w:eastAsia="仿宋_GB2312" w:cs="Times New Roman"/>
          <w:sz w:val="32"/>
          <w:szCs w:val="32"/>
          <w:u w:val="none"/>
          <w:lang w:val="en-US" w:eastAsia="zh-CN"/>
        </w:rPr>
        <w:t>1961.56</w:t>
      </w:r>
      <w:r>
        <w:rPr>
          <w:rFonts w:ascii="Times New Roman" w:hAnsi="Times New Roman" w:eastAsia="仿宋_GB2312" w:cs="Times New Roman"/>
          <w:sz w:val="32"/>
          <w:szCs w:val="32"/>
          <w:u w:val="none"/>
        </w:rPr>
        <w:t>万元，完成预算的</w:t>
      </w:r>
      <w:r>
        <w:rPr>
          <w:rFonts w:hint="eastAsia" w:ascii="Times New Roman" w:hAnsi="Times New Roman" w:eastAsia="仿宋_GB2312" w:cs="Times New Roman"/>
          <w:sz w:val="32"/>
          <w:szCs w:val="32"/>
          <w:u w:val="none"/>
          <w:lang w:val="en-US" w:eastAsia="zh-CN"/>
        </w:rPr>
        <w:t>259.46</w:t>
      </w:r>
      <w:r>
        <w:rPr>
          <w:rFonts w:ascii="Times New Roman" w:hAnsi="Times New Roman" w:eastAsia="仿宋_GB2312" w:cs="Times New Roman"/>
          <w:sz w:val="32"/>
          <w:szCs w:val="32"/>
          <w:u w:val="none"/>
        </w:rPr>
        <w:t>%</w:t>
      </w:r>
      <w:r>
        <w:rPr>
          <w:rFonts w:ascii="Times New Roman" w:hAnsi="Times New Roman" w:eastAsia="仿宋_GB2312" w:cs="Times New Roman"/>
          <w:kern w:val="0"/>
          <w:sz w:val="32"/>
          <w:szCs w:val="32"/>
          <w:u w:val="none"/>
        </w:rPr>
        <w:t>，绩效自评得分</w:t>
      </w:r>
      <w:r>
        <w:rPr>
          <w:rFonts w:hint="eastAsia" w:ascii="Times New Roman" w:hAnsi="Times New Roman" w:eastAsia="仿宋_GB2312" w:cs="Times New Roman"/>
          <w:sz w:val="32"/>
          <w:szCs w:val="32"/>
          <w:u w:val="none"/>
          <w:lang w:val="en-US" w:eastAsia="zh-CN"/>
        </w:rPr>
        <w:t>100</w:t>
      </w:r>
      <w:r>
        <w:rPr>
          <w:rFonts w:ascii="Times New Roman" w:hAnsi="Times New Roman" w:eastAsia="仿宋_GB2312" w:cs="Times New Roman"/>
          <w:sz w:val="32"/>
          <w:szCs w:val="32"/>
          <w:u w:val="none"/>
        </w:rPr>
        <w:t>分</w:t>
      </w:r>
      <w:r>
        <w:rPr>
          <w:rFonts w:ascii="Times New Roman" w:hAnsi="Times New Roman" w:eastAsia="仿宋_GB2312" w:cs="Times New Roman"/>
          <w:kern w:val="0"/>
          <w:sz w:val="32"/>
          <w:szCs w:val="32"/>
          <w:u w:val="none"/>
        </w:rPr>
        <w:t>，评价等级为</w:t>
      </w:r>
      <w:r>
        <w:rPr>
          <w:rFonts w:ascii="Times New Roman" w:hAnsi="Times New Roman" w:eastAsia="仿宋_GB2312" w:cs="Times New Roman"/>
          <w:sz w:val="32"/>
          <w:szCs w:val="32"/>
          <w:u w:val="none"/>
        </w:rPr>
        <w:t>“</w:t>
      </w:r>
      <w:r>
        <w:rPr>
          <w:rFonts w:hint="eastAsia" w:ascii="Times New Roman" w:hAnsi="Times New Roman" w:eastAsia="仿宋_GB2312" w:cs="Times New Roman"/>
          <w:sz w:val="32"/>
          <w:szCs w:val="32"/>
          <w:u w:val="none"/>
          <w:lang w:eastAsia="zh-CN"/>
        </w:rPr>
        <w:t>合格</w:t>
      </w:r>
      <w:r>
        <w:rPr>
          <w:rFonts w:ascii="Times New Roman" w:hAnsi="Times New Roman" w:eastAsia="仿宋_GB2312" w:cs="Times New Roman"/>
          <w:sz w:val="32"/>
          <w:szCs w:val="32"/>
          <w:u w:val="none"/>
        </w:rPr>
        <w:t>”。</w:t>
      </w:r>
      <w:r>
        <w:rPr>
          <w:rFonts w:ascii="Times New Roman" w:hAnsi="Times New Roman" w:eastAsia="仿宋_GB2312" w:cs="Times New Roman"/>
          <w:b/>
          <w:bCs/>
          <w:kern w:val="0"/>
          <w:sz w:val="32"/>
          <w:szCs w:val="32"/>
          <w:u w:val="none"/>
        </w:rPr>
        <w:t>二是部门评价结果。</w:t>
      </w:r>
      <w:r>
        <w:rPr>
          <w:rFonts w:ascii="Times New Roman" w:hAnsi="Times New Roman" w:eastAsia="仿宋_GB2312" w:cs="Times New Roman"/>
          <w:kern w:val="0"/>
          <w:sz w:val="32"/>
          <w:szCs w:val="32"/>
          <w:u w:val="none"/>
        </w:rPr>
        <w:t>202</w:t>
      </w:r>
      <w:r>
        <w:rPr>
          <w:rFonts w:hint="eastAsia" w:ascii="Times New Roman" w:hAnsi="Times New Roman" w:eastAsia="仿宋_GB2312" w:cs="Times New Roman"/>
          <w:kern w:val="0"/>
          <w:sz w:val="32"/>
          <w:szCs w:val="32"/>
          <w:u w:val="none"/>
          <w:lang w:val="en-US" w:eastAsia="zh-CN"/>
        </w:rPr>
        <w:t>5</w:t>
      </w:r>
      <w:r>
        <w:rPr>
          <w:rFonts w:ascii="Times New Roman" w:hAnsi="Times New Roman" w:eastAsia="仿宋_GB2312" w:cs="Times New Roman"/>
          <w:kern w:val="0"/>
          <w:sz w:val="32"/>
          <w:szCs w:val="32"/>
          <w:u w:val="none"/>
        </w:rPr>
        <w:t>年度</w:t>
      </w:r>
      <w:r>
        <w:rPr>
          <w:rFonts w:hint="eastAsia" w:ascii="Times New Roman" w:hAnsi="Times New Roman" w:eastAsia="仿宋_GB2312" w:cs="Times New Roman"/>
          <w:kern w:val="0"/>
          <w:sz w:val="32"/>
          <w:szCs w:val="32"/>
          <w:u w:val="none"/>
          <w:lang w:eastAsia="zh-CN"/>
        </w:rPr>
        <w:t>非税收入执收成本返还经费</w:t>
      </w:r>
      <w:r>
        <w:rPr>
          <w:rFonts w:ascii="Times New Roman" w:hAnsi="Times New Roman" w:eastAsia="仿宋_GB2312" w:cs="Times New Roman"/>
          <w:sz w:val="32"/>
          <w:szCs w:val="32"/>
          <w:u w:val="none"/>
        </w:rPr>
        <w:t>项目全年预算数</w:t>
      </w:r>
      <w:r>
        <w:rPr>
          <w:rFonts w:hint="eastAsia" w:ascii="Times New Roman" w:hAnsi="Times New Roman" w:eastAsia="仿宋_GB2312" w:cs="Times New Roman"/>
          <w:sz w:val="32"/>
          <w:szCs w:val="32"/>
          <w:u w:val="none"/>
          <w:lang w:val="en-US" w:eastAsia="zh-CN"/>
        </w:rPr>
        <w:t>310</w:t>
      </w:r>
      <w:r>
        <w:rPr>
          <w:rFonts w:ascii="Times New Roman" w:hAnsi="Times New Roman" w:eastAsia="仿宋_GB2312" w:cs="Times New Roman"/>
          <w:sz w:val="32"/>
          <w:szCs w:val="32"/>
          <w:u w:val="none"/>
        </w:rPr>
        <w:t>万元，执行数</w:t>
      </w:r>
      <w:r>
        <w:rPr>
          <w:rFonts w:hint="eastAsia" w:ascii="Times New Roman" w:hAnsi="Times New Roman" w:eastAsia="仿宋_GB2312" w:cs="Times New Roman"/>
          <w:sz w:val="32"/>
          <w:szCs w:val="32"/>
          <w:u w:val="none"/>
          <w:lang w:val="en-US" w:eastAsia="zh-CN"/>
        </w:rPr>
        <w:t>310</w:t>
      </w:r>
      <w:r>
        <w:rPr>
          <w:rFonts w:ascii="Times New Roman" w:hAnsi="Times New Roman" w:eastAsia="仿宋_GB2312" w:cs="Times New Roman"/>
          <w:sz w:val="32"/>
          <w:szCs w:val="32"/>
          <w:u w:val="none"/>
        </w:rPr>
        <w:t>万元，完成预算的</w:t>
      </w:r>
      <w:r>
        <w:rPr>
          <w:rFonts w:hint="eastAsia" w:ascii="Times New Roman" w:hAnsi="Times New Roman" w:eastAsia="仿宋_GB2312" w:cs="Times New Roman"/>
          <w:sz w:val="32"/>
          <w:szCs w:val="32"/>
          <w:u w:val="none"/>
          <w:lang w:val="en-US" w:eastAsia="zh-CN"/>
        </w:rPr>
        <w:t>100</w:t>
      </w:r>
      <w:r>
        <w:rPr>
          <w:rFonts w:ascii="Times New Roman" w:hAnsi="Times New Roman" w:eastAsia="仿宋_GB2312" w:cs="Times New Roman"/>
          <w:sz w:val="32"/>
          <w:szCs w:val="32"/>
          <w:u w:val="none"/>
        </w:rPr>
        <w:t>%</w:t>
      </w:r>
      <w:r>
        <w:rPr>
          <w:rFonts w:ascii="Times New Roman" w:hAnsi="Times New Roman" w:eastAsia="仿宋_GB2312" w:cs="Times New Roman"/>
          <w:kern w:val="0"/>
          <w:sz w:val="32"/>
          <w:szCs w:val="32"/>
          <w:u w:val="none"/>
        </w:rPr>
        <w:t>，</w:t>
      </w:r>
      <w:r>
        <w:rPr>
          <w:rFonts w:ascii="Times New Roman" w:hAnsi="Times New Roman" w:eastAsia="仿宋_GB2312" w:cs="Times New Roman"/>
          <w:sz w:val="32"/>
          <w:szCs w:val="32"/>
          <w:u w:val="none"/>
        </w:rPr>
        <w:t>部门评价得分</w:t>
      </w:r>
      <w:r>
        <w:rPr>
          <w:rFonts w:hint="eastAsia" w:ascii="Times New Roman" w:hAnsi="Times New Roman" w:eastAsia="仿宋_GB2312" w:cs="Times New Roman"/>
          <w:sz w:val="32"/>
          <w:szCs w:val="32"/>
          <w:u w:val="none"/>
          <w:lang w:val="en-US" w:eastAsia="zh-CN"/>
        </w:rPr>
        <w:t>100</w:t>
      </w:r>
      <w:r>
        <w:rPr>
          <w:rFonts w:ascii="Times New Roman" w:hAnsi="Times New Roman" w:eastAsia="仿宋_GB2312" w:cs="Times New Roman"/>
          <w:sz w:val="32"/>
          <w:szCs w:val="32"/>
          <w:u w:val="none"/>
        </w:rPr>
        <w:t>分，评价等级为“</w:t>
      </w:r>
      <w:r>
        <w:rPr>
          <w:rFonts w:hint="eastAsia" w:ascii="Times New Roman" w:hAnsi="Times New Roman" w:eastAsia="仿宋_GB2312" w:cs="Times New Roman"/>
          <w:sz w:val="32"/>
          <w:szCs w:val="32"/>
          <w:u w:val="none"/>
          <w:lang w:eastAsia="zh-CN"/>
        </w:rPr>
        <w:t>合格</w:t>
      </w:r>
      <w:r>
        <w:rPr>
          <w:rFonts w:ascii="Times New Roman" w:hAnsi="Times New Roman" w:eastAsia="仿宋_GB2312" w:cs="Times New Roman"/>
          <w:sz w:val="32"/>
          <w:szCs w:val="32"/>
          <w:u w:val="none"/>
        </w:rPr>
        <w:t>”。</w:t>
      </w:r>
    </w:p>
    <w:p w14:paraId="5AFCAE72">
      <w:pPr>
        <w:pStyle w:val="14"/>
        <w:jc w:val="both"/>
        <w:rPr>
          <w:rFonts w:ascii="Times New Roman" w:hAnsi="Times New Roman" w:cs="Times New Roman"/>
          <w:sz w:val="72"/>
          <w:szCs w:val="72"/>
          <w:u w:val="none"/>
        </w:rPr>
      </w:pPr>
    </w:p>
    <w:p w14:paraId="2BC33952">
      <w:pPr>
        <w:pStyle w:val="14"/>
        <w:spacing w:line="360" w:lineRule="auto"/>
        <w:jc w:val="center"/>
        <w:rPr>
          <w:rFonts w:ascii="Times New Roman" w:hAnsi="Times New Roman" w:eastAsia="方正小标宋_GBK" w:cs="Times New Roman"/>
          <w:sz w:val="52"/>
          <w:szCs w:val="52"/>
          <w:u w:val="none"/>
        </w:rPr>
      </w:pPr>
    </w:p>
    <w:p w14:paraId="47F2CB47">
      <w:pPr>
        <w:pStyle w:val="14"/>
        <w:spacing w:line="360" w:lineRule="auto"/>
        <w:jc w:val="center"/>
        <w:rPr>
          <w:rFonts w:ascii="Times New Roman" w:hAnsi="Times New Roman" w:eastAsia="方正小标宋_GBK" w:cs="Times New Roman"/>
          <w:sz w:val="52"/>
          <w:szCs w:val="52"/>
          <w:u w:val="none"/>
        </w:rPr>
      </w:pPr>
    </w:p>
    <w:p w14:paraId="3AE52037">
      <w:pPr>
        <w:pStyle w:val="14"/>
        <w:spacing w:line="360" w:lineRule="auto"/>
        <w:jc w:val="center"/>
        <w:rPr>
          <w:rFonts w:ascii="Times New Roman" w:hAnsi="Times New Roman" w:eastAsia="方正小标宋_GBK" w:cs="Times New Roman"/>
          <w:sz w:val="52"/>
          <w:szCs w:val="52"/>
          <w:u w:val="none"/>
        </w:rPr>
      </w:pPr>
    </w:p>
    <w:p w14:paraId="77C92D0E">
      <w:pPr>
        <w:pStyle w:val="14"/>
        <w:spacing w:line="360" w:lineRule="auto"/>
        <w:jc w:val="center"/>
        <w:rPr>
          <w:rFonts w:ascii="Times New Roman" w:hAnsi="Times New Roman" w:eastAsia="方正小标宋_GBK" w:cs="Times New Roman"/>
          <w:sz w:val="52"/>
          <w:szCs w:val="52"/>
          <w:u w:val="none"/>
        </w:rPr>
      </w:pPr>
    </w:p>
    <w:p w14:paraId="7A751152">
      <w:pPr>
        <w:pStyle w:val="14"/>
        <w:spacing w:line="360" w:lineRule="auto"/>
        <w:jc w:val="center"/>
        <w:rPr>
          <w:rFonts w:ascii="Times New Roman" w:hAnsi="Times New Roman" w:eastAsia="方正小标宋_GBK" w:cs="Times New Roman"/>
          <w:sz w:val="52"/>
          <w:szCs w:val="52"/>
          <w:u w:val="none"/>
        </w:rPr>
      </w:pPr>
    </w:p>
    <w:p w14:paraId="711395B1">
      <w:pPr>
        <w:pStyle w:val="14"/>
        <w:spacing w:line="360" w:lineRule="auto"/>
        <w:jc w:val="center"/>
        <w:rPr>
          <w:rFonts w:ascii="Times New Roman" w:hAnsi="Times New Roman" w:eastAsia="方正小标宋_GBK" w:cs="Times New Roman"/>
          <w:sz w:val="52"/>
          <w:szCs w:val="52"/>
          <w:u w:val="none"/>
        </w:rPr>
      </w:pPr>
    </w:p>
    <w:p w14:paraId="1508C92B">
      <w:pPr>
        <w:pStyle w:val="14"/>
        <w:spacing w:line="360" w:lineRule="auto"/>
        <w:jc w:val="center"/>
        <w:rPr>
          <w:rFonts w:ascii="Times New Roman" w:hAnsi="Times New Roman" w:eastAsia="方正小标宋_GBK" w:cs="Times New Roman"/>
          <w:sz w:val="52"/>
          <w:szCs w:val="52"/>
          <w:u w:val="none"/>
        </w:rPr>
      </w:pPr>
    </w:p>
    <w:p w14:paraId="55DF16A1">
      <w:pPr>
        <w:pStyle w:val="14"/>
        <w:spacing w:line="360" w:lineRule="auto"/>
        <w:jc w:val="center"/>
        <w:rPr>
          <w:rFonts w:ascii="Times New Roman" w:hAnsi="Times New Roman" w:eastAsia="方正小标宋_GBK" w:cs="Times New Roman"/>
          <w:sz w:val="52"/>
          <w:szCs w:val="52"/>
          <w:u w:val="none"/>
        </w:rPr>
      </w:pPr>
    </w:p>
    <w:p w14:paraId="56C75C35">
      <w:pPr>
        <w:pStyle w:val="14"/>
        <w:spacing w:line="360" w:lineRule="auto"/>
        <w:jc w:val="center"/>
        <w:rPr>
          <w:rFonts w:ascii="Times New Roman" w:hAnsi="Times New Roman" w:eastAsia="方正小标宋_GBK" w:cs="Times New Roman"/>
          <w:sz w:val="52"/>
          <w:szCs w:val="52"/>
          <w:u w:val="none"/>
        </w:rPr>
      </w:pPr>
    </w:p>
    <w:p w14:paraId="44EE970E">
      <w:pPr>
        <w:pStyle w:val="14"/>
        <w:spacing w:line="360" w:lineRule="auto"/>
        <w:jc w:val="center"/>
        <w:rPr>
          <w:rFonts w:ascii="Times New Roman" w:hAnsi="Times New Roman" w:eastAsia="方正小标宋_GBK" w:cs="Times New Roman"/>
          <w:sz w:val="52"/>
          <w:szCs w:val="52"/>
          <w:u w:val="none"/>
        </w:rPr>
      </w:pPr>
    </w:p>
    <w:p w14:paraId="5C2FA4BF">
      <w:pPr>
        <w:pStyle w:val="14"/>
        <w:spacing w:line="360" w:lineRule="auto"/>
        <w:jc w:val="center"/>
        <w:rPr>
          <w:rFonts w:ascii="Times New Roman" w:hAnsi="Times New Roman" w:eastAsia="方正小标宋_GBK" w:cs="Times New Roman"/>
          <w:sz w:val="52"/>
          <w:szCs w:val="52"/>
          <w:u w:val="none"/>
        </w:rPr>
      </w:pPr>
    </w:p>
    <w:p w14:paraId="0E759597">
      <w:pPr>
        <w:pStyle w:val="14"/>
        <w:spacing w:line="360" w:lineRule="auto"/>
        <w:jc w:val="center"/>
        <w:rPr>
          <w:rFonts w:ascii="Times New Roman" w:hAnsi="Times New Roman" w:eastAsia="方正小标宋_GBK" w:cs="Times New Roman"/>
          <w:sz w:val="52"/>
          <w:szCs w:val="52"/>
          <w:u w:val="none"/>
        </w:rPr>
      </w:pPr>
    </w:p>
    <w:p w14:paraId="4183318F">
      <w:pPr>
        <w:pStyle w:val="14"/>
        <w:spacing w:line="360" w:lineRule="auto"/>
        <w:jc w:val="center"/>
        <w:rPr>
          <w:rFonts w:ascii="Times New Roman" w:hAnsi="Times New Roman" w:eastAsia="方正小标宋_GBK" w:cs="Times New Roman"/>
          <w:sz w:val="52"/>
          <w:szCs w:val="52"/>
          <w:u w:val="none"/>
        </w:rPr>
      </w:pPr>
    </w:p>
    <w:p w14:paraId="1A06D478">
      <w:pPr>
        <w:pStyle w:val="14"/>
        <w:spacing w:line="360" w:lineRule="auto"/>
        <w:jc w:val="center"/>
        <w:rPr>
          <w:rFonts w:ascii="Times New Roman" w:hAnsi="Times New Roman" w:eastAsia="方正小标宋_GBK" w:cs="Times New Roman"/>
          <w:sz w:val="52"/>
          <w:szCs w:val="52"/>
          <w:u w:val="none"/>
        </w:rPr>
      </w:pPr>
    </w:p>
    <w:p w14:paraId="1062E877">
      <w:pPr>
        <w:pStyle w:val="14"/>
        <w:spacing w:line="360" w:lineRule="auto"/>
        <w:jc w:val="center"/>
        <w:rPr>
          <w:rFonts w:ascii="Times New Roman" w:hAnsi="Times New Roman" w:eastAsia="方正小标宋_GBK" w:cs="Times New Roman"/>
          <w:sz w:val="52"/>
          <w:szCs w:val="52"/>
          <w:u w:val="none"/>
        </w:rPr>
      </w:pPr>
    </w:p>
    <w:p w14:paraId="567E906D">
      <w:pPr>
        <w:pStyle w:val="14"/>
        <w:spacing w:line="360" w:lineRule="auto"/>
        <w:jc w:val="center"/>
        <w:rPr>
          <w:rFonts w:ascii="Times New Roman" w:hAnsi="Times New Roman" w:eastAsia="方正小标宋_GBK" w:cs="Times New Roman"/>
          <w:sz w:val="52"/>
          <w:szCs w:val="52"/>
          <w:u w:val="none"/>
        </w:rPr>
      </w:pPr>
    </w:p>
    <w:p w14:paraId="2C3D918F">
      <w:pPr>
        <w:pStyle w:val="14"/>
        <w:spacing w:line="360" w:lineRule="auto"/>
        <w:jc w:val="center"/>
        <w:rPr>
          <w:rFonts w:ascii="Times New Roman" w:hAnsi="Times New Roman" w:eastAsia="方正小标宋_GBK" w:cs="Times New Roman"/>
          <w:sz w:val="52"/>
          <w:szCs w:val="52"/>
          <w:u w:val="none"/>
        </w:rPr>
      </w:pPr>
    </w:p>
    <w:p w14:paraId="6E848C09">
      <w:pPr>
        <w:pStyle w:val="14"/>
        <w:spacing w:line="360" w:lineRule="auto"/>
        <w:jc w:val="center"/>
        <w:rPr>
          <w:rFonts w:ascii="Times New Roman" w:hAnsi="Times New Roman" w:eastAsia="方正小标宋_GBK" w:cs="Times New Roman"/>
          <w:sz w:val="52"/>
          <w:szCs w:val="52"/>
          <w:u w:val="none"/>
        </w:rPr>
      </w:pPr>
      <w:bookmarkStart w:id="3" w:name="_GoBack"/>
      <w:bookmarkEnd w:id="3"/>
      <w:r>
        <w:rPr>
          <w:rFonts w:ascii="Times New Roman" w:hAnsi="Times New Roman" w:eastAsia="方正小标宋_GBK" w:cs="Times New Roman"/>
          <w:sz w:val="52"/>
          <w:szCs w:val="52"/>
          <w:u w:val="none"/>
        </w:rPr>
        <w:t>第四部分    名词解释</w:t>
      </w:r>
    </w:p>
    <w:p w14:paraId="10EFA772">
      <w:pPr>
        <w:widowControl/>
        <w:jc w:val="left"/>
        <w:rPr>
          <w:rFonts w:ascii="Times New Roman" w:hAnsi="Times New Roman" w:cs="Times New Roman"/>
          <w:color w:val="000000"/>
          <w:kern w:val="0"/>
          <w:sz w:val="32"/>
          <w:szCs w:val="32"/>
          <w:u w:val="none"/>
        </w:rPr>
      </w:pPr>
    </w:p>
    <w:p w14:paraId="6F887659">
      <w:pPr>
        <w:widowControl/>
        <w:spacing w:line="600" w:lineRule="exact"/>
        <w:ind w:firstLine="660"/>
        <w:rPr>
          <w:rFonts w:eastAsia="仿宋_GB2312"/>
          <w:sz w:val="32"/>
          <w:szCs w:val="32"/>
          <w:u w:val="none"/>
        </w:rPr>
      </w:pPr>
      <w:r>
        <w:rPr>
          <w:rFonts w:eastAsia="仿宋_GB2312"/>
          <w:sz w:val="32"/>
          <w:szCs w:val="32"/>
          <w:u w:val="none"/>
        </w:rPr>
        <w:t>1、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44D8DE82">
      <w:pPr>
        <w:pStyle w:val="14"/>
        <w:spacing w:line="600" w:lineRule="exact"/>
        <w:ind w:firstLine="640" w:firstLineChars="200"/>
        <w:rPr>
          <w:rFonts w:ascii="Times New Roman" w:hAnsi="Times New Roman" w:eastAsia="楷体_GB2312" w:cs="Times New Roman"/>
          <w:b/>
          <w:bCs/>
          <w:i/>
          <w:color w:val="auto"/>
          <w:sz w:val="32"/>
          <w:szCs w:val="32"/>
          <w:u w:val="none"/>
        </w:rPr>
      </w:pPr>
      <w:r>
        <w:rPr>
          <w:rFonts w:eastAsia="仿宋_GB2312"/>
          <w:sz w:val="32"/>
          <w:szCs w:val="32"/>
          <w:u w:val="none"/>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505FCF1A">
      <w:pPr>
        <w:pStyle w:val="14"/>
        <w:jc w:val="center"/>
        <w:rPr>
          <w:rFonts w:ascii="Times New Roman" w:hAnsi="Times New Roman" w:cs="Times New Roman"/>
          <w:sz w:val="72"/>
          <w:szCs w:val="72"/>
          <w:u w:val="none"/>
        </w:rPr>
      </w:pPr>
    </w:p>
    <w:p w14:paraId="1575C013">
      <w:pPr>
        <w:pStyle w:val="14"/>
        <w:jc w:val="center"/>
        <w:rPr>
          <w:rFonts w:ascii="Times New Roman" w:hAnsi="Times New Roman" w:cs="Times New Roman"/>
          <w:sz w:val="72"/>
          <w:szCs w:val="72"/>
          <w:u w:val="none"/>
        </w:rPr>
      </w:pPr>
    </w:p>
    <w:p w14:paraId="7CD89CCB">
      <w:pPr>
        <w:pStyle w:val="14"/>
        <w:jc w:val="center"/>
        <w:rPr>
          <w:rFonts w:ascii="Times New Roman" w:hAnsi="Times New Roman" w:cs="Times New Roman"/>
          <w:sz w:val="72"/>
          <w:szCs w:val="72"/>
          <w:u w:val="none"/>
        </w:rPr>
      </w:pPr>
    </w:p>
    <w:p w14:paraId="2FAA341D">
      <w:pPr>
        <w:pStyle w:val="14"/>
        <w:jc w:val="center"/>
        <w:rPr>
          <w:rFonts w:ascii="Times New Roman" w:hAnsi="Times New Roman" w:cs="Times New Roman"/>
          <w:sz w:val="72"/>
          <w:szCs w:val="72"/>
          <w:u w:val="none"/>
        </w:rPr>
      </w:pPr>
    </w:p>
    <w:p w14:paraId="78B83E78">
      <w:pPr>
        <w:pStyle w:val="14"/>
        <w:jc w:val="center"/>
        <w:rPr>
          <w:rFonts w:ascii="Times New Roman" w:hAnsi="Times New Roman" w:cs="Times New Roman"/>
          <w:sz w:val="72"/>
          <w:szCs w:val="72"/>
          <w:u w:val="none"/>
        </w:rPr>
      </w:pPr>
    </w:p>
    <w:p w14:paraId="1E971B5B">
      <w:pPr>
        <w:pStyle w:val="14"/>
        <w:jc w:val="both"/>
        <w:rPr>
          <w:rFonts w:ascii="Times New Roman" w:hAnsi="Times New Roman" w:cs="Times New Roman"/>
          <w:sz w:val="72"/>
          <w:szCs w:val="72"/>
          <w:u w:val="none"/>
        </w:rPr>
      </w:pPr>
    </w:p>
    <w:p w14:paraId="41DE19D8">
      <w:pPr>
        <w:pStyle w:val="14"/>
        <w:jc w:val="both"/>
        <w:rPr>
          <w:rFonts w:ascii="Times New Roman" w:hAnsi="Times New Roman" w:cs="Times New Roman"/>
          <w:sz w:val="72"/>
          <w:szCs w:val="72"/>
          <w:u w:val="none"/>
        </w:rPr>
      </w:pPr>
    </w:p>
    <w:p w14:paraId="1E1C1165">
      <w:pPr>
        <w:pStyle w:val="14"/>
        <w:spacing w:line="360" w:lineRule="auto"/>
        <w:jc w:val="center"/>
        <w:rPr>
          <w:rFonts w:ascii="Times New Roman" w:hAnsi="Times New Roman" w:eastAsia="方正小标宋_GBK" w:cs="Times New Roman"/>
          <w:sz w:val="52"/>
          <w:szCs w:val="52"/>
          <w:u w:val="none"/>
        </w:rPr>
      </w:pPr>
      <w:r>
        <w:rPr>
          <w:rFonts w:ascii="Times New Roman" w:hAnsi="Times New Roman" w:eastAsia="方正小标宋_GBK" w:cs="Times New Roman"/>
          <w:sz w:val="52"/>
          <w:szCs w:val="52"/>
          <w:u w:val="none"/>
        </w:rPr>
        <w:t>第五部分   附 件</w:t>
      </w:r>
    </w:p>
    <w:p w14:paraId="00939C6A">
      <w:pPr>
        <w:rPr>
          <w:rFonts w:ascii="Times New Roman" w:hAnsi="Times New Roman" w:cs="Times New Roman"/>
          <w:sz w:val="72"/>
          <w:szCs w:val="72"/>
        </w:rPr>
      </w:pPr>
    </w:p>
    <w:p w14:paraId="2B6C1ACA">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34079007">
      <w:pPr>
        <w:pStyle w:val="14"/>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eastAsia="zh-CN"/>
        </w:rPr>
        <w:t>项目</w:t>
      </w:r>
      <w:r>
        <w:rPr>
          <w:rFonts w:ascii="Times New Roman" w:hAnsi="Times New Roman" w:eastAsia="仿宋_GB2312" w:cs="Times New Roman"/>
          <w:sz w:val="32"/>
          <w:szCs w:val="32"/>
        </w:rPr>
        <w:t>支出绩效自评报告。</w:t>
      </w:r>
    </w:p>
    <w:p w14:paraId="76F3EEA1">
      <w:pPr>
        <w:pStyle w:val="14"/>
        <w:jc w:val="center"/>
        <w:rPr>
          <w:rFonts w:ascii="Times New Roman" w:hAnsi="Times New Roman" w:cs="Times New Roman"/>
          <w:sz w:val="72"/>
          <w:szCs w:val="72"/>
        </w:rPr>
      </w:pPr>
    </w:p>
    <w:p w14:paraId="3B548BFA">
      <w:pPr>
        <w:pStyle w:val="14"/>
        <w:jc w:val="center"/>
        <w:rPr>
          <w:rFonts w:ascii="Times New Roman" w:hAnsi="Times New Roman" w:cs="Times New Roman"/>
          <w:sz w:val="72"/>
          <w:szCs w:val="72"/>
        </w:rPr>
      </w:pPr>
    </w:p>
    <w:p w14:paraId="1596353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53448">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A252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46C51">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F6BA1">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34BF11">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234BF11">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A8C62A"/>
    <w:multiLevelType w:val="singleLevel"/>
    <w:tmpl w:val="51A8C62A"/>
    <w:lvl w:ilvl="0" w:tentative="0">
      <w:start w:val="2"/>
      <w:numFmt w:val="chineseCounting"/>
      <w:suff w:val="nothing"/>
      <w:lvlText w:val="（%1）"/>
      <w:lvlJc w:val="left"/>
      <w:rPr>
        <w:rFonts w:hint="eastAsia"/>
      </w:rPr>
    </w:lvl>
  </w:abstractNum>
  <w:abstractNum w:abstractNumId="1">
    <w:nsid w:val="6CAB7CDE"/>
    <w:multiLevelType w:val="singleLevel"/>
    <w:tmpl w:val="6CAB7CDE"/>
    <w:lvl w:ilvl="0" w:tentative="0">
      <w:start w:val="1"/>
      <w:numFmt w:val="decimal"/>
      <w:suff w:val="nothing"/>
      <w:lvlText w:val="%1、"/>
      <w:lvlJc w:val="left"/>
    </w:lvl>
  </w:abstractNum>
  <w:abstractNum w:abstractNumId="2">
    <w:nsid w:val="7B4A7028"/>
    <w:multiLevelType w:val="singleLevel"/>
    <w:tmpl w:val="7B4A7028"/>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35135"/>
    <w:rsid w:val="00152C6D"/>
    <w:rsid w:val="00162D39"/>
    <w:rsid w:val="001678BD"/>
    <w:rsid w:val="00172E78"/>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0A1D"/>
    <w:rsid w:val="007F3657"/>
    <w:rsid w:val="00810F0C"/>
    <w:rsid w:val="00811AA2"/>
    <w:rsid w:val="00812ED5"/>
    <w:rsid w:val="008277D9"/>
    <w:rsid w:val="0084478C"/>
    <w:rsid w:val="0086638C"/>
    <w:rsid w:val="008764FA"/>
    <w:rsid w:val="008878D1"/>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16BE5"/>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56620"/>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1E1FE4"/>
    <w:rsid w:val="012A2737"/>
    <w:rsid w:val="0136732D"/>
    <w:rsid w:val="018C1643"/>
    <w:rsid w:val="019F1377"/>
    <w:rsid w:val="01AD5116"/>
    <w:rsid w:val="01AF70E0"/>
    <w:rsid w:val="01FB40D3"/>
    <w:rsid w:val="0270061D"/>
    <w:rsid w:val="02D52B76"/>
    <w:rsid w:val="03372ABD"/>
    <w:rsid w:val="03411FB9"/>
    <w:rsid w:val="03546191"/>
    <w:rsid w:val="039055B1"/>
    <w:rsid w:val="03BD08C2"/>
    <w:rsid w:val="03F67248"/>
    <w:rsid w:val="04983E5B"/>
    <w:rsid w:val="04E62E18"/>
    <w:rsid w:val="05465FAD"/>
    <w:rsid w:val="056628F9"/>
    <w:rsid w:val="05810D93"/>
    <w:rsid w:val="05832D5D"/>
    <w:rsid w:val="059611F2"/>
    <w:rsid w:val="059C7104"/>
    <w:rsid w:val="06176ECF"/>
    <w:rsid w:val="063858F6"/>
    <w:rsid w:val="06665132"/>
    <w:rsid w:val="069114AA"/>
    <w:rsid w:val="06E65352"/>
    <w:rsid w:val="0708176C"/>
    <w:rsid w:val="07293490"/>
    <w:rsid w:val="074541E7"/>
    <w:rsid w:val="075449B1"/>
    <w:rsid w:val="079923C4"/>
    <w:rsid w:val="07A1396F"/>
    <w:rsid w:val="07A24F71"/>
    <w:rsid w:val="07C35693"/>
    <w:rsid w:val="07C733D5"/>
    <w:rsid w:val="07CD206E"/>
    <w:rsid w:val="080552C4"/>
    <w:rsid w:val="0808579C"/>
    <w:rsid w:val="082A74C0"/>
    <w:rsid w:val="090221EB"/>
    <w:rsid w:val="09181A0E"/>
    <w:rsid w:val="09242161"/>
    <w:rsid w:val="093920B1"/>
    <w:rsid w:val="093E36CF"/>
    <w:rsid w:val="09420839"/>
    <w:rsid w:val="099973F7"/>
    <w:rsid w:val="09D5345C"/>
    <w:rsid w:val="0AA3355A"/>
    <w:rsid w:val="0AD100C7"/>
    <w:rsid w:val="0AE84C3D"/>
    <w:rsid w:val="0B4169F8"/>
    <w:rsid w:val="0B505490"/>
    <w:rsid w:val="0B550CF8"/>
    <w:rsid w:val="0B726F20"/>
    <w:rsid w:val="0B835865"/>
    <w:rsid w:val="0C047BD0"/>
    <w:rsid w:val="0C117376"/>
    <w:rsid w:val="0C6437C0"/>
    <w:rsid w:val="0C6F7B97"/>
    <w:rsid w:val="0C9F3B69"/>
    <w:rsid w:val="0D4903E8"/>
    <w:rsid w:val="0D8853B5"/>
    <w:rsid w:val="0E107158"/>
    <w:rsid w:val="0E3E1F17"/>
    <w:rsid w:val="0E4017EB"/>
    <w:rsid w:val="0E477FDA"/>
    <w:rsid w:val="0E681A7D"/>
    <w:rsid w:val="0EA55AF2"/>
    <w:rsid w:val="0EAF24CD"/>
    <w:rsid w:val="0EC87A33"/>
    <w:rsid w:val="0ECC12D1"/>
    <w:rsid w:val="0EE20AF5"/>
    <w:rsid w:val="0EFE5739"/>
    <w:rsid w:val="0F0E0413"/>
    <w:rsid w:val="0F2F360E"/>
    <w:rsid w:val="0F421593"/>
    <w:rsid w:val="0F9F2542"/>
    <w:rsid w:val="0FC1070A"/>
    <w:rsid w:val="100E76C7"/>
    <w:rsid w:val="101E3DAE"/>
    <w:rsid w:val="10F90377"/>
    <w:rsid w:val="1114221C"/>
    <w:rsid w:val="113B44EC"/>
    <w:rsid w:val="11A227BD"/>
    <w:rsid w:val="11E84D8F"/>
    <w:rsid w:val="120D5E88"/>
    <w:rsid w:val="12137217"/>
    <w:rsid w:val="12F11EAC"/>
    <w:rsid w:val="12F42BA4"/>
    <w:rsid w:val="12FE3A23"/>
    <w:rsid w:val="130059ED"/>
    <w:rsid w:val="1336140F"/>
    <w:rsid w:val="138A0110"/>
    <w:rsid w:val="13AC7923"/>
    <w:rsid w:val="13B011C1"/>
    <w:rsid w:val="13C75F2E"/>
    <w:rsid w:val="13FD52BE"/>
    <w:rsid w:val="14065285"/>
    <w:rsid w:val="143F0797"/>
    <w:rsid w:val="14681A9C"/>
    <w:rsid w:val="158741A4"/>
    <w:rsid w:val="1589571D"/>
    <w:rsid w:val="159B19FD"/>
    <w:rsid w:val="15E60172"/>
    <w:rsid w:val="15EB488E"/>
    <w:rsid w:val="16201F02"/>
    <w:rsid w:val="162709B2"/>
    <w:rsid w:val="164E4CC1"/>
    <w:rsid w:val="16811F73"/>
    <w:rsid w:val="16CB6312"/>
    <w:rsid w:val="16D01B7A"/>
    <w:rsid w:val="16DE7DF3"/>
    <w:rsid w:val="17171557"/>
    <w:rsid w:val="17285513"/>
    <w:rsid w:val="17326391"/>
    <w:rsid w:val="173D2D0B"/>
    <w:rsid w:val="17E72CD8"/>
    <w:rsid w:val="17FF44C5"/>
    <w:rsid w:val="18375738"/>
    <w:rsid w:val="1838722E"/>
    <w:rsid w:val="189664AC"/>
    <w:rsid w:val="190653E0"/>
    <w:rsid w:val="19404D95"/>
    <w:rsid w:val="19853FB7"/>
    <w:rsid w:val="199D21E8"/>
    <w:rsid w:val="19A35591"/>
    <w:rsid w:val="19F85670"/>
    <w:rsid w:val="1A18186E"/>
    <w:rsid w:val="1A404921"/>
    <w:rsid w:val="1AD5775F"/>
    <w:rsid w:val="1B6A61A2"/>
    <w:rsid w:val="1B950DC1"/>
    <w:rsid w:val="1BB43819"/>
    <w:rsid w:val="1BCF0653"/>
    <w:rsid w:val="1BEE6DFD"/>
    <w:rsid w:val="1C142509"/>
    <w:rsid w:val="1C5446B4"/>
    <w:rsid w:val="1C74320F"/>
    <w:rsid w:val="1C8925AF"/>
    <w:rsid w:val="1C9B0535"/>
    <w:rsid w:val="1CCE01BE"/>
    <w:rsid w:val="1CD04682"/>
    <w:rsid w:val="1D0E0D07"/>
    <w:rsid w:val="1D497F91"/>
    <w:rsid w:val="1D7A45D7"/>
    <w:rsid w:val="1D97DEFF"/>
    <w:rsid w:val="1DAB29F9"/>
    <w:rsid w:val="1DFF72E5"/>
    <w:rsid w:val="1E6257AE"/>
    <w:rsid w:val="1EE34B8A"/>
    <w:rsid w:val="1EFA59E6"/>
    <w:rsid w:val="1EFC6F07"/>
    <w:rsid w:val="1F0D396C"/>
    <w:rsid w:val="1F947BE9"/>
    <w:rsid w:val="1FB21E1D"/>
    <w:rsid w:val="1FBB33C8"/>
    <w:rsid w:val="1FC87893"/>
    <w:rsid w:val="1FCF29CF"/>
    <w:rsid w:val="1FD37A90"/>
    <w:rsid w:val="1FE3647B"/>
    <w:rsid w:val="208F215E"/>
    <w:rsid w:val="2100305C"/>
    <w:rsid w:val="210466A8"/>
    <w:rsid w:val="21525B61"/>
    <w:rsid w:val="21740393"/>
    <w:rsid w:val="21780E44"/>
    <w:rsid w:val="21B53E47"/>
    <w:rsid w:val="21BC3427"/>
    <w:rsid w:val="21D40771"/>
    <w:rsid w:val="22A860C1"/>
    <w:rsid w:val="22CA56D0"/>
    <w:rsid w:val="22DC7AF6"/>
    <w:rsid w:val="22E76282"/>
    <w:rsid w:val="22F369D5"/>
    <w:rsid w:val="230010F2"/>
    <w:rsid w:val="233D0598"/>
    <w:rsid w:val="242F6132"/>
    <w:rsid w:val="24885842"/>
    <w:rsid w:val="248B0E8F"/>
    <w:rsid w:val="24AB5AC9"/>
    <w:rsid w:val="24B91EA0"/>
    <w:rsid w:val="24CA5E5B"/>
    <w:rsid w:val="24E8008F"/>
    <w:rsid w:val="24EA2059"/>
    <w:rsid w:val="24EA3C85"/>
    <w:rsid w:val="252C4420"/>
    <w:rsid w:val="254774AC"/>
    <w:rsid w:val="259A75DB"/>
    <w:rsid w:val="25C746DF"/>
    <w:rsid w:val="262670C1"/>
    <w:rsid w:val="263E265D"/>
    <w:rsid w:val="26787CD4"/>
    <w:rsid w:val="26E56F7C"/>
    <w:rsid w:val="27133AE9"/>
    <w:rsid w:val="27277595"/>
    <w:rsid w:val="278542BB"/>
    <w:rsid w:val="283D091B"/>
    <w:rsid w:val="285223EF"/>
    <w:rsid w:val="291711F9"/>
    <w:rsid w:val="292D6449"/>
    <w:rsid w:val="29C94933"/>
    <w:rsid w:val="29D044F2"/>
    <w:rsid w:val="29FB0865"/>
    <w:rsid w:val="2A1738F0"/>
    <w:rsid w:val="2A202079"/>
    <w:rsid w:val="2A6401B8"/>
    <w:rsid w:val="2A6B7798"/>
    <w:rsid w:val="2A750617"/>
    <w:rsid w:val="2A834AE2"/>
    <w:rsid w:val="2A9F38E6"/>
    <w:rsid w:val="2B2636BF"/>
    <w:rsid w:val="2B7A26E0"/>
    <w:rsid w:val="2B9D7E25"/>
    <w:rsid w:val="2BA70CA4"/>
    <w:rsid w:val="2BAC0068"/>
    <w:rsid w:val="2BC173D4"/>
    <w:rsid w:val="2BCF6C22"/>
    <w:rsid w:val="2BEE0681"/>
    <w:rsid w:val="2BFE41CE"/>
    <w:rsid w:val="2C1D0F66"/>
    <w:rsid w:val="2C6679D2"/>
    <w:rsid w:val="2C7C40E7"/>
    <w:rsid w:val="2C861D15"/>
    <w:rsid w:val="2CA5144C"/>
    <w:rsid w:val="2CE57C3E"/>
    <w:rsid w:val="2D9B2143"/>
    <w:rsid w:val="2D9C5EBB"/>
    <w:rsid w:val="2E0F337C"/>
    <w:rsid w:val="2E625356"/>
    <w:rsid w:val="2E905188"/>
    <w:rsid w:val="2F045487"/>
    <w:rsid w:val="2F154177"/>
    <w:rsid w:val="2F2443BA"/>
    <w:rsid w:val="2FA07EE4"/>
    <w:rsid w:val="2FCF2577"/>
    <w:rsid w:val="2FD67C85"/>
    <w:rsid w:val="2FDF85B8"/>
    <w:rsid w:val="2FE06533"/>
    <w:rsid w:val="2FFFEE04"/>
    <w:rsid w:val="304732AA"/>
    <w:rsid w:val="3062519A"/>
    <w:rsid w:val="308D68F9"/>
    <w:rsid w:val="30B04157"/>
    <w:rsid w:val="30C714A1"/>
    <w:rsid w:val="30E233DD"/>
    <w:rsid w:val="31230DCD"/>
    <w:rsid w:val="31AF08B2"/>
    <w:rsid w:val="31BA24B5"/>
    <w:rsid w:val="31C75BFC"/>
    <w:rsid w:val="31C81658"/>
    <w:rsid w:val="31ED3189"/>
    <w:rsid w:val="32425283"/>
    <w:rsid w:val="327C459C"/>
    <w:rsid w:val="32935ADE"/>
    <w:rsid w:val="32CB5278"/>
    <w:rsid w:val="32EE540A"/>
    <w:rsid w:val="335E60EC"/>
    <w:rsid w:val="33693740"/>
    <w:rsid w:val="33923FE8"/>
    <w:rsid w:val="3399237B"/>
    <w:rsid w:val="33CC6E91"/>
    <w:rsid w:val="34052A0C"/>
    <w:rsid w:val="343B01DB"/>
    <w:rsid w:val="345E036E"/>
    <w:rsid w:val="346D235F"/>
    <w:rsid w:val="349124F1"/>
    <w:rsid w:val="34C53F49"/>
    <w:rsid w:val="34D523DE"/>
    <w:rsid w:val="34DF85B0"/>
    <w:rsid w:val="3526113E"/>
    <w:rsid w:val="364658E7"/>
    <w:rsid w:val="3651018A"/>
    <w:rsid w:val="36721EAF"/>
    <w:rsid w:val="36A71B58"/>
    <w:rsid w:val="36D16BD5"/>
    <w:rsid w:val="370413D0"/>
    <w:rsid w:val="371B1295"/>
    <w:rsid w:val="37464DD3"/>
    <w:rsid w:val="37AD13F0"/>
    <w:rsid w:val="37F4701F"/>
    <w:rsid w:val="380E4447"/>
    <w:rsid w:val="381672D6"/>
    <w:rsid w:val="384855BD"/>
    <w:rsid w:val="38995E18"/>
    <w:rsid w:val="38BD469B"/>
    <w:rsid w:val="38CD6721"/>
    <w:rsid w:val="38EF3C8A"/>
    <w:rsid w:val="3929719C"/>
    <w:rsid w:val="393671C3"/>
    <w:rsid w:val="3951224F"/>
    <w:rsid w:val="396A37ED"/>
    <w:rsid w:val="39E240A8"/>
    <w:rsid w:val="3A00614F"/>
    <w:rsid w:val="3A265CF7"/>
    <w:rsid w:val="3A2E4A3F"/>
    <w:rsid w:val="3A465B2C"/>
    <w:rsid w:val="3AAA1C17"/>
    <w:rsid w:val="3ACA050B"/>
    <w:rsid w:val="3AF9494C"/>
    <w:rsid w:val="3B201ED9"/>
    <w:rsid w:val="3B304812"/>
    <w:rsid w:val="3B3F2CA7"/>
    <w:rsid w:val="3B8F36BC"/>
    <w:rsid w:val="3BAC7A40"/>
    <w:rsid w:val="3BBA40DC"/>
    <w:rsid w:val="3C005BAC"/>
    <w:rsid w:val="3C2854E9"/>
    <w:rsid w:val="3C4B742A"/>
    <w:rsid w:val="3CA134EE"/>
    <w:rsid w:val="3CDB69FF"/>
    <w:rsid w:val="3CEC4769"/>
    <w:rsid w:val="3D255ECD"/>
    <w:rsid w:val="3D3B2031"/>
    <w:rsid w:val="3D6A3202"/>
    <w:rsid w:val="3D8250CD"/>
    <w:rsid w:val="3E135D25"/>
    <w:rsid w:val="3E196AA7"/>
    <w:rsid w:val="3E4141B1"/>
    <w:rsid w:val="3E5F540E"/>
    <w:rsid w:val="3E5F71BC"/>
    <w:rsid w:val="3E8F2A04"/>
    <w:rsid w:val="3E8F5A64"/>
    <w:rsid w:val="3EB43064"/>
    <w:rsid w:val="3F3E3276"/>
    <w:rsid w:val="3F5860E5"/>
    <w:rsid w:val="3F696545"/>
    <w:rsid w:val="3F7410E3"/>
    <w:rsid w:val="3F7D4A4F"/>
    <w:rsid w:val="3FC11176"/>
    <w:rsid w:val="40307062"/>
    <w:rsid w:val="404D19C2"/>
    <w:rsid w:val="40AA0BC3"/>
    <w:rsid w:val="40B05AAD"/>
    <w:rsid w:val="4153338C"/>
    <w:rsid w:val="4182569C"/>
    <w:rsid w:val="41D67795"/>
    <w:rsid w:val="42415557"/>
    <w:rsid w:val="42424E2B"/>
    <w:rsid w:val="424B1F31"/>
    <w:rsid w:val="43397FDC"/>
    <w:rsid w:val="43EF2D90"/>
    <w:rsid w:val="44342174"/>
    <w:rsid w:val="44557097"/>
    <w:rsid w:val="449032CF"/>
    <w:rsid w:val="44986F84"/>
    <w:rsid w:val="44B518E4"/>
    <w:rsid w:val="44CD305F"/>
    <w:rsid w:val="45126D36"/>
    <w:rsid w:val="45675CA0"/>
    <w:rsid w:val="457C2402"/>
    <w:rsid w:val="45943BEF"/>
    <w:rsid w:val="45D95AA6"/>
    <w:rsid w:val="461777F5"/>
    <w:rsid w:val="462211FB"/>
    <w:rsid w:val="46885853"/>
    <w:rsid w:val="469C7200"/>
    <w:rsid w:val="46BD7176"/>
    <w:rsid w:val="46C329DE"/>
    <w:rsid w:val="47240FA3"/>
    <w:rsid w:val="4773430F"/>
    <w:rsid w:val="47B23434"/>
    <w:rsid w:val="47BC11DC"/>
    <w:rsid w:val="47E81FD1"/>
    <w:rsid w:val="47FB61A8"/>
    <w:rsid w:val="484D4914"/>
    <w:rsid w:val="48650A8D"/>
    <w:rsid w:val="48FE5D5D"/>
    <w:rsid w:val="491FF225"/>
    <w:rsid w:val="492B6619"/>
    <w:rsid w:val="494D2A33"/>
    <w:rsid w:val="49C12AD9"/>
    <w:rsid w:val="49E35145"/>
    <w:rsid w:val="4A1E2D1A"/>
    <w:rsid w:val="4A6718D3"/>
    <w:rsid w:val="4B215F25"/>
    <w:rsid w:val="4B241572"/>
    <w:rsid w:val="4B313C8F"/>
    <w:rsid w:val="4BB62E23"/>
    <w:rsid w:val="4BBF74EC"/>
    <w:rsid w:val="4BF310C5"/>
    <w:rsid w:val="4C582666"/>
    <w:rsid w:val="4C6360CA"/>
    <w:rsid w:val="4C910E89"/>
    <w:rsid w:val="4CAA019C"/>
    <w:rsid w:val="4CD46FC7"/>
    <w:rsid w:val="4CDE39A2"/>
    <w:rsid w:val="4D1E32DC"/>
    <w:rsid w:val="4D7A191D"/>
    <w:rsid w:val="4DD21759"/>
    <w:rsid w:val="4DFC07CB"/>
    <w:rsid w:val="4E10402F"/>
    <w:rsid w:val="4E6B74B7"/>
    <w:rsid w:val="4E922C96"/>
    <w:rsid w:val="4EDB288F"/>
    <w:rsid w:val="4EDC6E30"/>
    <w:rsid w:val="4EDD6607"/>
    <w:rsid w:val="4F5F701C"/>
    <w:rsid w:val="4F675ED1"/>
    <w:rsid w:val="4F6F4222"/>
    <w:rsid w:val="4F702FD7"/>
    <w:rsid w:val="4FF754A7"/>
    <w:rsid w:val="4FFD214C"/>
    <w:rsid w:val="500B3357"/>
    <w:rsid w:val="50451978"/>
    <w:rsid w:val="508C6AA6"/>
    <w:rsid w:val="50D6330E"/>
    <w:rsid w:val="50F43794"/>
    <w:rsid w:val="50F94B68"/>
    <w:rsid w:val="50FF3035"/>
    <w:rsid w:val="51422751"/>
    <w:rsid w:val="51A4340C"/>
    <w:rsid w:val="51B318A1"/>
    <w:rsid w:val="51D81308"/>
    <w:rsid w:val="522307D5"/>
    <w:rsid w:val="52923F61"/>
    <w:rsid w:val="52E405D0"/>
    <w:rsid w:val="530103EA"/>
    <w:rsid w:val="53F8330E"/>
    <w:rsid w:val="54210D44"/>
    <w:rsid w:val="546D21DB"/>
    <w:rsid w:val="54EC75A4"/>
    <w:rsid w:val="55102B67"/>
    <w:rsid w:val="55452810"/>
    <w:rsid w:val="558302B7"/>
    <w:rsid w:val="55DC1FD8"/>
    <w:rsid w:val="55F34962"/>
    <w:rsid w:val="564231F4"/>
    <w:rsid w:val="567E306B"/>
    <w:rsid w:val="56B45E9F"/>
    <w:rsid w:val="56BC4D54"/>
    <w:rsid w:val="572A6162"/>
    <w:rsid w:val="57415259"/>
    <w:rsid w:val="57763155"/>
    <w:rsid w:val="5777D4F5"/>
    <w:rsid w:val="5797131D"/>
    <w:rsid w:val="57DF519E"/>
    <w:rsid w:val="57E36310"/>
    <w:rsid w:val="580249E9"/>
    <w:rsid w:val="582E7771"/>
    <w:rsid w:val="584B2834"/>
    <w:rsid w:val="58782EFD"/>
    <w:rsid w:val="59246BE1"/>
    <w:rsid w:val="59396B30"/>
    <w:rsid w:val="59796F2C"/>
    <w:rsid w:val="59975605"/>
    <w:rsid w:val="59D625D1"/>
    <w:rsid w:val="59DD8326"/>
    <w:rsid w:val="5A6C4CE3"/>
    <w:rsid w:val="5AA24261"/>
    <w:rsid w:val="5ABA77FD"/>
    <w:rsid w:val="5B01367D"/>
    <w:rsid w:val="5B0D2022"/>
    <w:rsid w:val="5B4044D2"/>
    <w:rsid w:val="5B82623D"/>
    <w:rsid w:val="5BA364E3"/>
    <w:rsid w:val="5BC326E1"/>
    <w:rsid w:val="5C1B42CB"/>
    <w:rsid w:val="5C3E620B"/>
    <w:rsid w:val="5C5123E2"/>
    <w:rsid w:val="5CAC7095"/>
    <w:rsid w:val="5CD252D1"/>
    <w:rsid w:val="5D460AFD"/>
    <w:rsid w:val="5D7C6FEB"/>
    <w:rsid w:val="5D8A088D"/>
    <w:rsid w:val="5D9702C9"/>
    <w:rsid w:val="5D9B7F3B"/>
    <w:rsid w:val="5DB04EE7"/>
    <w:rsid w:val="5DD60DF1"/>
    <w:rsid w:val="5DEF592A"/>
    <w:rsid w:val="5E033269"/>
    <w:rsid w:val="5E1436C8"/>
    <w:rsid w:val="5E1C257C"/>
    <w:rsid w:val="5E3873B6"/>
    <w:rsid w:val="5E435D5B"/>
    <w:rsid w:val="5E930A90"/>
    <w:rsid w:val="5E9640DD"/>
    <w:rsid w:val="5EAB0A1B"/>
    <w:rsid w:val="5EB56F1B"/>
    <w:rsid w:val="5EBB1D95"/>
    <w:rsid w:val="5EDD1D0C"/>
    <w:rsid w:val="5EFC4888"/>
    <w:rsid w:val="5F3062DF"/>
    <w:rsid w:val="5F65071D"/>
    <w:rsid w:val="5F7E34EF"/>
    <w:rsid w:val="5F816B3B"/>
    <w:rsid w:val="5F926F9A"/>
    <w:rsid w:val="5F9C5723"/>
    <w:rsid w:val="5FB76A00"/>
    <w:rsid w:val="5FC6BB1E"/>
    <w:rsid w:val="5FE07D05"/>
    <w:rsid w:val="5FF720F1"/>
    <w:rsid w:val="60624BBE"/>
    <w:rsid w:val="607D5554"/>
    <w:rsid w:val="60BE0276"/>
    <w:rsid w:val="611A0FF5"/>
    <w:rsid w:val="611B4B9F"/>
    <w:rsid w:val="614B5652"/>
    <w:rsid w:val="614E5143"/>
    <w:rsid w:val="61646714"/>
    <w:rsid w:val="6181336C"/>
    <w:rsid w:val="61A92379"/>
    <w:rsid w:val="621E2A56"/>
    <w:rsid w:val="623065F6"/>
    <w:rsid w:val="624327CD"/>
    <w:rsid w:val="62643640"/>
    <w:rsid w:val="627E55B4"/>
    <w:rsid w:val="62D376AD"/>
    <w:rsid w:val="6346571D"/>
    <w:rsid w:val="63D25BB7"/>
    <w:rsid w:val="64236413"/>
    <w:rsid w:val="64521DC3"/>
    <w:rsid w:val="6453537C"/>
    <w:rsid w:val="64790728"/>
    <w:rsid w:val="64874BF3"/>
    <w:rsid w:val="64A74904"/>
    <w:rsid w:val="64D836A1"/>
    <w:rsid w:val="64E35BA2"/>
    <w:rsid w:val="6525440C"/>
    <w:rsid w:val="6535464F"/>
    <w:rsid w:val="656B62C3"/>
    <w:rsid w:val="65941E45"/>
    <w:rsid w:val="66007D1F"/>
    <w:rsid w:val="66217708"/>
    <w:rsid w:val="663E5786"/>
    <w:rsid w:val="663F32AC"/>
    <w:rsid w:val="66432D9C"/>
    <w:rsid w:val="669B3D50"/>
    <w:rsid w:val="66BE2423"/>
    <w:rsid w:val="66FD25CD"/>
    <w:rsid w:val="6764746E"/>
    <w:rsid w:val="677F6056"/>
    <w:rsid w:val="67801DCE"/>
    <w:rsid w:val="67E22141"/>
    <w:rsid w:val="67EB7D9C"/>
    <w:rsid w:val="67FF5C0B"/>
    <w:rsid w:val="68B166E3"/>
    <w:rsid w:val="691B590A"/>
    <w:rsid w:val="692D018F"/>
    <w:rsid w:val="69360996"/>
    <w:rsid w:val="6958159C"/>
    <w:rsid w:val="699B6A4B"/>
    <w:rsid w:val="69D65CD5"/>
    <w:rsid w:val="69F76313"/>
    <w:rsid w:val="6A535578"/>
    <w:rsid w:val="6A791025"/>
    <w:rsid w:val="6B2430E0"/>
    <w:rsid w:val="6B252A70"/>
    <w:rsid w:val="6B2F38EF"/>
    <w:rsid w:val="6B4A24D7"/>
    <w:rsid w:val="6B503556"/>
    <w:rsid w:val="6B6932A5"/>
    <w:rsid w:val="6B6B1005"/>
    <w:rsid w:val="6B9F6CC6"/>
    <w:rsid w:val="6BC73B27"/>
    <w:rsid w:val="6BD821D8"/>
    <w:rsid w:val="6C134FBF"/>
    <w:rsid w:val="6C3E04A4"/>
    <w:rsid w:val="6CBA18DE"/>
    <w:rsid w:val="6D0668D1"/>
    <w:rsid w:val="6D417909"/>
    <w:rsid w:val="6D667370"/>
    <w:rsid w:val="6D761CA9"/>
    <w:rsid w:val="6D88378A"/>
    <w:rsid w:val="6E22764F"/>
    <w:rsid w:val="6E3D27C7"/>
    <w:rsid w:val="6E3F02ED"/>
    <w:rsid w:val="6E9543B1"/>
    <w:rsid w:val="6ED91ED1"/>
    <w:rsid w:val="6EE3336E"/>
    <w:rsid w:val="6EFC0924"/>
    <w:rsid w:val="6F1D6B2A"/>
    <w:rsid w:val="6F437C60"/>
    <w:rsid w:val="6F5F675F"/>
    <w:rsid w:val="6F7246F2"/>
    <w:rsid w:val="6F8166E3"/>
    <w:rsid w:val="6F866623"/>
    <w:rsid w:val="6F9B77A5"/>
    <w:rsid w:val="6FB74722"/>
    <w:rsid w:val="6FEC6944"/>
    <w:rsid w:val="6FEF8B7E"/>
    <w:rsid w:val="700215D2"/>
    <w:rsid w:val="70074C3C"/>
    <w:rsid w:val="70251764"/>
    <w:rsid w:val="706A3BBB"/>
    <w:rsid w:val="70710506"/>
    <w:rsid w:val="707D50FC"/>
    <w:rsid w:val="70AC7790"/>
    <w:rsid w:val="70D94A29"/>
    <w:rsid w:val="70E77FCC"/>
    <w:rsid w:val="711041C2"/>
    <w:rsid w:val="71325EE7"/>
    <w:rsid w:val="71557E27"/>
    <w:rsid w:val="71900E5F"/>
    <w:rsid w:val="71A6591B"/>
    <w:rsid w:val="71DE7E1D"/>
    <w:rsid w:val="71F95B34"/>
    <w:rsid w:val="720D24B0"/>
    <w:rsid w:val="724F6A09"/>
    <w:rsid w:val="725D3437"/>
    <w:rsid w:val="72712A3F"/>
    <w:rsid w:val="728704B4"/>
    <w:rsid w:val="72C708B1"/>
    <w:rsid w:val="72D059B7"/>
    <w:rsid w:val="737D59BA"/>
    <w:rsid w:val="73D70FC8"/>
    <w:rsid w:val="73DD4830"/>
    <w:rsid w:val="73ED63CB"/>
    <w:rsid w:val="74085625"/>
    <w:rsid w:val="74253AE1"/>
    <w:rsid w:val="74424693"/>
    <w:rsid w:val="744A1799"/>
    <w:rsid w:val="744F6DB0"/>
    <w:rsid w:val="745169F6"/>
    <w:rsid w:val="745F3CCD"/>
    <w:rsid w:val="746D7236"/>
    <w:rsid w:val="74936C9D"/>
    <w:rsid w:val="749A6CAF"/>
    <w:rsid w:val="74BF5CE3"/>
    <w:rsid w:val="74C4154C"/>
    <w:rsid w:val="74EC5F81"/>
    <w:rsid w:val="74FA373C"/>
    <w:rsid w:val="75F75951"/>
    <w:rsid w:val="764364A0"/>
    <w:rsid w:val="76AD7DBE"/>
    <w:rsid w:val="76C72F9D"/>
    <w:rsid w:val="76E732D0"/>
    <w:rsid w:val="771A5453"/>
    <w:rsid w:val="774150D6"/>
    <w:rsid w:val="775F730A"/>
    <w:rsid w:val="77701517"/>
    <w:rsid w:val="77C37683"/>
    <w:rsid w:val="77E872FF"/>
    <w:rsid w:val="787A5F47"/>
    <w:rsid w:val="78D07B2E"/>
    <w:rsid w:val="78DF69FB"/>
    <w:rsid w:val="78E23F4E"/>
    <w:rsid w:val="78F014D6"/>
    <w:rsid w:val="79050385"/>
    <w:rsid w:val="794762A8"/>
    <w:rsid w:val="794B08AA"/>
    <w:rsid w:val="795D1F6F"/>
    <w:rsid w:val="79725A1A"/>
    <w:rsid w:val="79CB5DB2"/>
    <w:rsid w:val="79D19834"/>
    <w:rsid w:val="79EB30D7"/>
    <w:rsid w:val="79FF515B"/>
    <w:rsid w:val="7A080CC3"/>
    <w:rsid w:val="7A0D0290"/>
    <w:rsid w:val="7A7FD9F7"/>
    <w:rsid w:val="7AA64A51"/>
    <w:rsid w:val="7AD63D87"/>
    <w:rsid w:val="7AD718AD"/>
    <w:rsid w:val="7B087CB8"/>
    <w:rsid w:val="7B226FCC"/>
    <w:rsid w:val="7B256ABC"/>
    <w:rsid w:val="7B552E6C"/>
    <w:rsid w:val="7BA7127F"/>
    <w:rsid w:val="7BED1B7D"/>
    <w:rsid w:val="7BF549BF"/>
    <w:rsid w:val="7BFA3AA5"/>
    <w:rsid w:val="7BFA5853"/>
    <w:rsid w:val="7C1009D7"/>
    <w:rsid w:val="7C61648E"/>
    <w:rsid w:val="7D0A41BC"/>
    <w:rsid w:val="7DC22518"/>
    <w:rsid w:val="7DC9372F"/>
    <w:rsid w:val="7DE315FF"/>
    <w:rsid w:val="7DF32EA2"/>
    <w:rsid w:val="7E4B0384"/>
    <w:rsid w:val="7E6478FC"/>
    <w:rsid w:val="7E786F03"/>
    <w:rsid w:val="7E8D6E52"/>
    <w:rsid w:val="7E9A331D"/>
    <w:rsid w:val="7E9E1962"/>
    <w:rsid w:val="7E9F11B4"/>
    <w:rsid w:val="7EE12CFA"/>
    <w:rsid w:val="7EFA483A"/>
    <w:rsid w:val="7F37EC1E"/>
    <w:rsid w:val="7F4734A5"/>
    <w:rsid w:val="7F72355B"/>
    <w:rsid w:val="7F7DCD9D"/>
    <w:rsid w:val="7F81059C"/>
    <w:rsid w:val="7F8D69DE"/>
    <w:rsid w:val="7F970A6F"/>
    <w:rsid w:val="7FA50B03"/>
    <w:rsid w:val="7FC1FFF3"/>
    <w:rsid w:val="7FC69637"/>
    <w:rsid w:val="7FDF8620"/>
    <w:rsid w:val="7FE8C8F7"/>
    <w:rsid w:val="7FF058EB"/>
    <w:rsid w:val="7FF627D5"/>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index 5"/>
    <w:basedOn w:val="1"/>
    <w:next w:val="1"/>
    <w:unhideWhenUsed/>
    <w:qFormat/>
    <w:uiPriority w:val="99"/>
    <w:pPr>
      <w:keepNext w:val="0"/>
      <w:keepLines w:val="0"/>
      <w:pageBreakBefore w:val="0"/>
      <w:suppressLineNumbers w:val="0"/>
      <w:suppressAutoHyphens/>
      <w:kinsoku/>
      <w:wordWrap/>
      <w:overflowPunct/>
      <w:topLinePunct w:val="0"/>
      <w:autoSpaceDE/>
      <w:autoSpaceDN/>
      <w:bidi w:val="0"/>
      <w:adjustRightInd/>
      <w:snapToGrid/>
      <w:spacing w:before="0" w:beforeAutospacing="0" w:after="0" w:afterAutospacing="0" w:line="240" w:lineRule="auto"/>
      <w:ind w:left="1680" w:right="0" w:firstLine="0"/>
      <w:textAlignment w:val="auto"/>
      <w:outlineLvl w:val="9"/>
    </w:pPr>
    <w:rPr>
      <w:snapToGrid/>
      <w:spacing w:val="0"/>
      <w:w w:val="100"/>
      <w:position w:val="0"/>
      <w:szCs w:val="20"/>
      <w:u w:val="none"/>
      <w:vertAlign w:val="baseline"/>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1559</Words>
  <Characters>1890</Characters>
  <Lines>69</Lines>
  <Paragraphs>19</Paragraphs>
  <TotalTime>43</TotalTime>
  <ScaleCrop>false</ScaleCrop>
  <LinksUpToDate>false</LinksUpToDate>
  <CharactersWithSpaces>2101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2026-09-10T15:32:56Z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eyJoZGlkIjoiN2ZkMTQzY2MzMTk1NWUzNTk4MGNjODdlNzg3ZWZiN2QiLCJ1c2VySWQiOiIzMDQxMDcxNzMifQ==</vt:lpwstr>
  </property>
</Properties>
</file>