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kern w:val="0"/>
          <w:sz w:val="44"/>
          <w:szCs w:val="44"/>
        </w:rPr>
        <w:t>蓝山县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kern w:val="0"/>
          <w:sz w:val="44"/>
          <w:szCs w:val="44"/>
          <w:lang w:val="en-US" w:eastAsia="zh-CN"/>
        </w:rPr>
        <w:t>浩友非法吸收公众存款案集资参与人委员会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kern w:val="0"/>
          <w:sz w:val="44"/>
          <w:szCs w:val="44"/>
        </w:rPr>
        <w:t>组织与工作规程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</w:rPr>
        <w:t>（经筹备组202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/>
        </w:rPr>
        <w:t>14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</w:rPr>
        <w:t>日会议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/>
        </w:rPr>
        <w:t>审议通过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本规程所称蓝山县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浩友非法吸收公众存款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案，是指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湖南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浩友房地产开发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有限公司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及其相关公司、人员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所涉非法吸收公众存款案。</w:t>
      </w:r>
    </w:p>
    <w:p>
      <w:pPr>
        <w:pStyle w:val="2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/>
        </w:rPr>
        <w:t>工作任务与工作原则</w:t>
      </w:r>
    </w:p>
    <w:p>
      <w:pPr>
        <w:pStyle w:val="2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第一条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蓝山县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浩友非法吸收公众存款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，系“蓝山县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浩友非法吸收公众存款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案”的案涉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（即投资人、受害人）的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自参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自决自治组织。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委员会代表全体案涉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，在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蓝山县打击和处置非法集资工作领导小组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和律师团队的指导监督下，依法依规参与案涉资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的管理与处置工作、案涉资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的清退工作，以增进案涉资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管理与处置工作的公开透明度，切实维护全体案涉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的合法权益。</w:t>
      </w:r>
    </w:p>
    <w:p>
      <w:pPr>
        <w:pStyle w:val="2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第二条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蓝山县浩友非法吸收公众存款案集资参与人委员会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的具体工作职责如下：</w:t>
      </w:r>
    </w:p>
    <w:p>
      <w:pPr>
        <w:pStyle w:val="2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1.接受与核实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蓝山县浩友非法吸收公众存款案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集资资金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申报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2.与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和保持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联系，做好解释说明工作，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随时听取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对相关工作的意见与建议，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依法向司法机关提出案涉集资资金处置意见，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并做好案涉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的信访维稳工作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3.依法依规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参与案涉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核实、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管理与处置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工作；</w:t>
      </w:r>
    </w:p>
    <w:p>
      <w:pPr>
        <w:pStyle w:val="2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定期向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公示工作进展情况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5.依法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拟定案涉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清退方案，报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蓝山县打击和处置非法集资工作领导小组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审核通过后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实施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第三条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开展工作，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需依照法律法规规章，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需遵守公开透明、公平公正、合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理合法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的原则。</w:t>
      </w:r>
    </w:p>
    <w:p>
      <w:pPr>
        <w:pStyle w:val="2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/>
        </w:rPr>
        <w:t>组织架构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第四条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由依法产生的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名成员组成。在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履行职责过程中，出现其成员提出辞任、不能妥为履行职责等情形的，经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蓝山县打击和处置非法集资工作领导小组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审核后，对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的法定人数予以核减。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以举行会议作出决议的方式，行使职权。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原则上每季度举行一次全体会议。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常务委员会不能正常开展工作时，监督委员会有权代为召集和主持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会议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，直至集资参与人委员会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常务委员会正常开展工作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时止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具有下列情形时，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得举行临时会议，以处理相应工作：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蓝山县政府主管机构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或监督委员会提出要求的；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8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/>
        </w:rPr>
        <w:t>2.不少于三分之一的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/>
        </w:rPr>
        <w:t>委员联名提出要求的；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常务委员会认为有必要的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第五条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设立常务委员会，由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名人员组成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，均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由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集资参与人委员会选举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产生，对其负责。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常务委员会负责主持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的日常工作，召集并主持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会议。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常务委员会设主任1名，副主任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名。由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常务委员会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产生，对其负责。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常务委员会主任，负责召集和主持常务委员会会议。主任不能履职，或者作出授权时，副主任代为履行职责。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常务委员会每旬需举行会议，总结上旬工作情况，并确定下旬及其后的相应工作计划与安排。常务委员会主任有权根据工作需要，随时召集常务委员会会议。</w:t>
      </w:r>
    </w:p>
    <w:p>
      <w:pPr>
        <w:pStyle w:val="2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第六条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常务委员会的工作职责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如下：</w:t>
      </w:r>
    </w:p>
    <w:p>
      <w:pPr>
        <w:pStyle w:val="2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1.在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蓝山县打击和处置非法集资工作领导小组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和律师团队的指导监督下开展工作。在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闭会期间履行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职责，负责处理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的日常管理事务；</w:t>
      </w:r>
    </w:p>
    <w:p>
      <w:pPr>
        <w:pStyle w:val="2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2.召集和主持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会议，并依法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执行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作出的决定；</w:t>
      </w:r>
    </w:p>
    <w:p>
      <w:pPr>
        <w:pStyle w:val="2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3.可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根据工作需要，委任或者聘请一定数量工作人员，处理行政等事务性工作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4.定期向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蓝山县打击和处置非法集资工作领导小组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进行工作汇报；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拟订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各项案涉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核实、保值增值工作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的初步方案，经决定和批准后组织实施。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第七条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设立秘书处，在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及其常务委员会的领导下开展工作。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秘书处负责协助处理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及其常务委员会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的行政管理类事务，并提供行政支持。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秘书处设秘书长1名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秘书长由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常务委员会在委员或常务委员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指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或选举产生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第九条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设立监督委员会。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监督委员会由下列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名人员组成：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自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蓝山县打击和处置非法集资工作领导小组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推选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1名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委员；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自其组成人员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非常务委员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中推选产生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名委员。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第十条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监督委员会设主任1人，副主任1人。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监督委员会主任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由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本规程第九条第二款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1项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产生的委员担任。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监督委员会副主任，由依据本规程第九条第二款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2项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产生的委员互相推选产生。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第十一条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监督委员会主任主持监督委员会全面工作，负责召集和主持监督委员会会议。主任不能履职，或者作出授权时，副主任得代为主持工作。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监督委员会每月需举行会议，以总结上月工作情况，并确定下一月及其后的相应工作计划与安排。监督委员会主任有权根据工作需要，随时召集监督委员会会议。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监督委员会负责对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委员、常务委员会及其成员、秘书处各项工作的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真实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合法合规性，以及案涉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的管理、处置与清退工作等进行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依法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监督。监督委员会全体或者派员列席常务委员会会议，并行使监督权或发表意见的权利，但没有表决权。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监督委员会发现、查实集资参与人委员会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委员、常务委员会及其成员、秘书处各项工作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存在虚假行为、违法行为，直接出具文书予以制止，或者罢免集资参与人委员会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委员、常务委员会及其成员、秘书处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及成员。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第十三条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在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常务委员会不能正常履职时，监督委员会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代行集资参与人委员会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常务委员会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履职，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召集和主持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会议，以罢免常务委员会，并重新选举产生新的常务委员会。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/>
        </w:rPr>
        <w:t>会议规则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第十四条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会议由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/>
        </w:rPr>
        <w:t>务委员会召集并主持，由秘书处向全体应参会人员发出会议通知。</w:t>
      </w:r>
    </w:p>
    <w:p>
      <w:pPr>
        <w:pStyle w:val="2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会议通知内容应该包括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会议的时间、地点；提交会议审议的事项；会议联系人姓名、联系电话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会议通知，需提前3日送达于参会人员。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第十五条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会议，得由秘书处委派的秘书参加并拟备会议记录文件，对会议进行全程录音记录。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每次会议休会后，秘书应于休会后24小时内将会议记录发送给出席人员审阅。出席人员认为对本人的发言记录有错漏的，需于24小时内，将修改意见发送给秘书。出席人员未有依据本条提出修改意见的，此后不得再行提出修改意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第十六条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需由其半数以上委员出席，方为有效。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会议通知指明的会议时间，出席人员未达半数的，主持人需等待30分钟。等待期间，出席人员达到半数以上时，会议方可开始；等待30分钟后，出席人数仍不达半数的，主持人得宣布休会，并择日再行召集会议。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第十七条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会议过程中，参会人员需在主持人的主持下，对会议通知所列事项逐一进行审议。议案获参会人员过半数赞成，方为通过。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参会人员可就他人提出的议案，提出修正案。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第十八条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会议过程中，发言与辩论、表决，均需遵守以下规则：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（1）会议开始后，出席人员在获主持人叫唤发言时，方可发言。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（2）出席人员按照下列次序发言，并对议题进行辩论：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a.议案提出人动议其所提出的议案。在主持人向会议提出该议题后，议案提出人发言，发言时限为10分钟；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b.如有就该议案提出修正案时，由该修正案提出人动议其所提出的修正案。在主持人向会议提出议案予以修正的待议议题后，该修正案动议人发言，发言时限5分钟。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c.如对同一议案提出了多于一份修正案的，由主持人按照原议案文本拟修正字句的先后次序，让修正案提出人依次动议修正案及发言。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d.其他出席人员就议题进行辩论发言，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或已作发言者要求再次辩论发言的，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发言时限为5分钟；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e.当无人示意欲就该项议题再行发言时，主持人得请议案提出人作答辩发言，发言时限为5分钟；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f.主持人可以决定会议就原议案与修正案予以合并辩论；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8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/>
        </w:rPr>
        <w:t>g.主持人可以不安排修正案提出人就修正案辩论作答辩发言。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（3）在议题辩论过程中，主持人得让持不同意见与立场的人获得均衡的发言辩论机会。多人轮候发言时，与前一位发言者观点相左者，得安排其优先发言；有优先发言权的人有2人以上时，由主持人按照示意发言的先后次序叫唤其发言；主持人不能辨别示意发言的先后次序时，由主持人决定发言次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（4）满足下列条件之一时，主持人需将议题交付会议表决：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a.经主持人提示，出席人员无人示意需要发言时；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b.为有效推进会议进行，主持人为该议题所设定的辩论时限届满时。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（5）议案经参会人员过半数以上表决赞成，即为通过。未获通过的议案，即为被否决。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（6）对议案的表决，按照下列方式进行：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a.无修正案的议案，主持人向会议提出议案予以通过的待决议题，先请同意的出席人员举手表决，再请反对的出席人员举手表决。根据表决情况，现场宣告待决议题的表决结果。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b.有修正案的议案，主持人先向会议提出议案予以修正的待决议题，根据表决情况，现场宣告待决议题的表决结果。之后，再向会议提出原议案或经修正的议案（视修正案表决情况而定）予以通过的待决议题，并根据表决情况，现场宣告待决议题的表决结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c.有多于一项修正案的议案，则按照修正案次序（如本条（2）c条所述）安排表决。但是，在前修正案如获表决通过，则与其相抵触的在后修正案将不被付诸会议表决。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（7）在对任一议题进行表决的过程中，如有任一出席人员要求记名表决时，主持人得指示秘书将对该议题表示赞成、反对意见的出席人员姓名予以记载，主持人并需将表决赞成、反对的人员名单予以宣读，并据此宣布表决结果。出席人员认为自己的表决意向被错误记录的，可以向主持人要求修改，但需在主持人宣布表决结果之前提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第十九条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秘书需根据会议表决结果，拟备会议决议。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第二十条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召开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常务委员会、监督委员会会议时，参照上述会议规则；但会议通知需提前24小时送达于参会人员。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会议表决采用少数服从多数的原则。在对会议议题进行表决时，如出现赞成与反对人数相同时，会议的主持人可以对该表决议题加投一票，以使该议题获得通过或被否决。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/>
        </w:rPr>
        <w:t>四、其他工作事务规则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第二十一条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及其常务委员会、监督委员会与秘书处人员，外出执行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接受和核实债权申报、调查核实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状况、参与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管理与处置事务等相关工作的，均需获得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常务委员会的委派，并至少二人同行。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第二十二条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进行本规程第二十一条所列工作的人员，需逐日详细填制工作记录，并于单项工作处理结束后2日内，向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常务委员会提交工作报告，附工作记录及相应资料。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/>
        </w:rPr>
        <w:t>五、财务费用开支标准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第二十三条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及其常务委员会、监督委员会履行职务所需的办公费用、人员津贴、差旅费用、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管理与处置费用等，作为全体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的共益费用，从案涉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资金（含其孳息）中支出。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第二十四条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常务委员会、监督委员会在进行财务开支时，应严格遵循必要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、节约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原则，严格控制各项费用。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第二十五条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及其常务委员会、监督委员会履行职务时，可以按照下表所列标准，向相关人员计付职务津贴。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3"/>
        <w:gridCol w:w="1843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职   务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津贴标准</w:t>
            </w:r>
          </w:p>
        </w:tc>
        <w:tc>
          <w:tcPr>
            <w:tcW w:w="32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常务委员会主任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00元/月</w:t>
            </w:r>
          </w:p>
        </w:tc>
        <w:tc>
          <w:tcPr>
            <w:tcW w:w="32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不同时获发第3、4项津贴，全脱产工作。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常务委员会副主任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00元/月</w:t>
            </w:r>
          </w:p>
        </w:tc>
        <w:tc>
          <w:tcPr>
            <w:tcW w:w="32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不同时获发第3、4项津贴，全脱产工作。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常务委员会委员、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秘书长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00元/月</w:t>
            </w:r>
          </w:p>
        </w:tc>
        <w:tc>
          <w:tcPr>
            <w:tcW w:w="32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不同时获发第4项津贴，全脱产工作。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.集资参与人委员会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委员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50元/天</w:t>
            </w:r>
          </w:p>
        </w:tc>
        <w:tc>
          <w:tcPr>
            <w:tcW w:w="32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本项为按次发放。需全程现场参与了一次会议，方予计发。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监督委员会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主任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元/月</w:t>
            </w:r>
          </w:p>
        </w:tc>
        <w:tc>
          <w:tcPr>
            <w:tcW w:w="32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不同时获发第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项津贴，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脱产工作。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监督委员会委员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50元/天</w:t>
            </w:r>
          </w:p>
        </w:tc>
        <w:tc>
          <w:tcPr>
            <w:tcW w:w="32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本项为按次发放。需全程现场参与了一次会议，方予计发。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7.受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指派外出执行任务者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50元/天</w:t>
            </w:r>
          </w:p>
        </w:tc>
        <w:tc>
          <w:tcPr>
            <w:tcW w:w="32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无论职务，按日计发。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特别说明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政府提出人选获委任者，不依本规程获发任何津贴。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聘请人员按聘请合同发放工资。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第二十六条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及其常务委员会、监督委员会履行职务时，可以按照下表所列标准，为相关人员报销差旅费用。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4357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项  目</w:t>
            </w:r>
          </w:p>
        </w:tc>
        <w:tc>
          <w:tcPr>
            <w:tcW w:w="43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费用标准</w:t>
            </w:r>
          </w:p>
        </w:tc>
        <w:tc>
          <w:tcPr>
            <w:tcW w:w="26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交通费</w:t>
            </w:r>
          </w:p>
        </w:tc>
        <w:tc>
          <w:tcPr>
            <w:tcW w:w="43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飞机经济舱，高铁二等座，火车硬卧以下</w:t>
            </w:r>
          </w:p>
        </w:tc>
        <w:tc>
          <w:tcPr>
            <w:tcW w:w="26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据实报销。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伙食费</w:t>
            </w:r>
          </w:p>
        </w:tc>
        <w:tc>
          <w:tcPr>
            <w:tcW w:w="43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除蓝山县外100元/天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人，蓝山县内无。</w:t>
            </w:r>
          </w:p>
        </w:tc>
        <w:tc>
          <w:tcPr>
            <w:tcW w:w="26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造表报账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住宿费</w:t>
            </w:r>
          </w:p>
        </w:tc>
        <w:tc>
          <w:tcPr>
            <w:tcW w:w="43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省外：不高于200元/天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人；省内：不高于150元/天.人；蓝山县内无。</w:t>
            </w:r>
          </w:p>
        </w:tc>
        <w:tc>
          <w:tcPr>
            <w:tcW w:w="26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凭票据按不高于左列标准报销，超标自负。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特别说明</w:t>
            </w:r>
          </w:p>
        </w:tc>
        <w:tc>
          <w:tcPr>
            <w:tcW w:w="703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  <w:t>政府提出人选获委任者，可依本规程获报销差旅费用。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第二十七条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本规程所列津贴的发放、差旅费用及其他支出，按照如下程序进行处理：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1.由经办人员（依常务委员会或监督委员会所作工作安排而确定）填报请款单或报销单，并附相应工作任务单与费用单据，交秘书处审核；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2.秘书处主管人员审核无误后，由政府聘请的律师审核并出具律师函，报蓝山县政府主管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指定人员审签后，予以支出，并作记账处理。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第二十八条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 xml:space="preserve">   依据本规程所产生的任何财务支出，均需由常务委员会负责向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及全体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进行公示。其中，向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应每月公示不少于一次；向全体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进行公示应每季度不少于一次。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/>
        </w:rPr>
        <w:t>、政府监督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二十九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蓝山县打击和处置非法集资工作领导小组依法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监督、指导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及其常务委员会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的工作。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第三十条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出现下列情形之一时，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蓝山县打击和处置非法集资工作领导小组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可以解散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或常务委员会，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并重新筹组新的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或常务委员会：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蓝山县打击和处置非法集资工作领导小组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提出的待议事项，交付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后逾10日，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未有开展相应工作的；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常务委员会不能正常履职，且未能选举产生新的常务委员会逾30日的；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常务委员会履职期间出现违背现行政策法规、在广大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中信任度不高、产生大量负面信息或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反响强烈的。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/>
        </w:rPr>
        <w:t>、其他</w:t>
      </w:r>
    </w:p>
    <w:p>
      <w:pPr>
        <w:pStyle w:val="2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第三十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本规程由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蓝山县浩友非法吸收公众存款案集资参与人委员会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筹备组审议通过，并经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蓝山县打击和处置非法集资工作领导小组审核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同意后进行公告；广泛听取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集资参与人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/>
        </w:rPr>
        <w:t>意见和建议后，再行修改定稿公告，予以实施。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0" w:num="1"/>
      <w:docGrid w:type="linesAndChars" w:linePitch="290" w:charSpace="-34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97"/>
  <w:drawingGridVerticalSpacing w:val="145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WQ5MWJkNGQ1ZTA0YzZjNTcxMjU1MjRiMjRhZmIifQ=="/>
  </w:docVars>
  <w:rsids>
    <w:rsidRoot w:val="327FFFED"/>
    <w:rsid w:val="00112C28"/>
    <w:rsid w:val="00336901"/>
    <w:rsid w:val="003757D9"/>
    <w:rsid w:val="0052523F"/>
    <w:rsid w:val="005C1FA6"/>
    <w:rsid w:val="005D046F"/>
    <w:rsid w:val="006A52C7"/>
    <w:rsid w:val="0073519A"/>
    <w:rsid w:val="008B69E0"/>
    <w:rsid w:val="00A516C7"/>
    <w:rsid w:val="00AA255D"/>
    <w:rsid w:val="00AE7D21"/>
    <w:rsid w:val="00BD5733"/>
    <w:rsid w:val="00C93DAE"/>
    <w:rsid w:val="00DF1AFE"/>
    <w:rsid w:val="00ED52DC"/>
    <w:rsid w:val="05C70D29"/>
    <w:rsid w:val="06BE7A3E"/>
    <w:rsid w:val="072A42D8"/>
    <w:rsid w:val="087E7DB6"/>
    <w:rsid w:val="0981364A"/>
    <w:rsid w:val="0A974C88"/>
    <w:rsid w:val="0B8A0EBE"/>
    <w:rsid w:val="0C0F30E2"/>
    <w:rsid w:val="11B976FA"/>
    <w:rsid w:val="13C11860"/>
    <w:rsid w:val="13DE46A6"/>
    <w:rsid w:val="14DD5513"/>
    <w:rsid w:val="1B397DE9"/>
    <w:rsid w:val="1E0D2F79"/>
    <w:rsid w:val="2234674E"/>
    <w:rsid w:val="24D420AB"/>
    <w:rsid w:val="25645050"/>
    <w:rsid w:val="25896A5C"/>
    <w:rsid w:val="25A349A0"/>
    <w:rsid w:val="28717098"/>
    <w:rsid w:val="29AA4798"/>
    <w:rsid w:val="2A401A4E"/>
    <w:rsid w:val="2AE67529"/>
    <w:rsid w:val="2B7C5766"/>
    <w:rsid w:val="2BA55819"/>
    <w:rsid w:val="2ED44F00"/>
    <w:rsid w:val="30700A26"/>
    <w:rsid w:val="30A24E04"/>
    <w:rsid w:val="30FC044D"/>
    <w:rsid w:val="31F73546"/>
    <w:rsid w:val="327FFFED"/>
    <w:rsid w:val="3363254D"/>
    <w:rsid w:val="33856D40"/>
    <w:rsid w:val="354B32CB"/>
    <w:rsid w:val="356F6271"/>
    <w:rsid w:val="363629BC"/>
    <w:rsid w:val="372E5B39"/>
    <w:rsid w:val="399611DB"/>
    <w:rsid w:val="3C2C79E4"/>
    <w:rsid w:val="3D054348"/>
    <w:rsid w:val="3DAC76CD"/>
    <w:rsid w:val="3DD05246"/>
    <w:rsid w:val="410D71E8"/>
    <w:rsid w:val="424F14CB"/>
    <w:rsid w:val="443B0256"/>
    <w:rsid w:val="45664779"/>
    <w:rsid w:val="4C8E280A"/>
    <w:rsid w:val="4E3E0B9C"/>
    <w:rsid w:val="4ED15816"/>
    <w:rsid w:val="518568D3"/>
    <w:rsid w:val="519B7B99"/>
    <w:rsid w:val="531D4190"/>
    <w:rsid w:val="538C48C1"/>
    <w:rsid w:val="54EE6BFE"/>
    <w:rsid w:val="55403CF1"/>
    <w:rsid w:val="55AF05D2"/>
    <w:rsid w:val="5975740D"/>
    <w:rsid w:val="5ADF26E4"/>
    <w:rsid w:val="631242A3"/>
    <w:rsid w:val="646D6ACB"/>
    <w:rsid w:val="6474677C"/>
    <w:rsid w:val="653D45B1"/>
    <w:rsid w:val="689E3494"/>
    <w:rsid w:val="69AD6436"/>
    <w:rsid w:val="69DC36CC"/>
    <w:rsid w:val="6D1A4CDE"/>
    <w:rsid w:val="6E38125C"/>
    <w:rsid w:val="6FCDF30B"/>
    <w:rsid w:val="71D73234"/>
    <w:rsid w:val="7270369E"/>
    <w:rsid w:val="74881CAB"/>
    <w:rsid w:val="76226211"/>
    <w:rsid w:val="762F5634"/>
    <w:rsid w:val="76507882"/>
    <w:rsid w:val="7B7142F5"/>
    <w:rsid w:val="7BDA2F72"/>
    <w:rsid w:val="7D0C6AA9"/>
    <w:rsid w:val="B4FD99CE"/>
    <w:rsid w:val="D7FF4C13"/>
    <w:rsid w:val="DF5DC213"/>
    <w:rsid w:val="E9EF115F"/>
    <w:rsid w:val="F6885818"/>
    <w:rsid w:val="FBB71CB5"/>
    <w:rsid w:val="FF3925AD"/>
    <w:rsid w:val="FFF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9"/>
    </w:pPr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5457</Words>
  <Characters>5531</Characters>
  <Lines>45</Lines>
  <Paragraphs>12</Paragraphs>
  <TotalTime>2</TotalTime>
  <ScaleCrop>false</ScaleCrop>
  <LinksUpToDate>false</LinksUpToDate>
  <CharactersWithSpaces>5607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2020-11-24T13:25:00Z</dcterms:created>
  <dc:creator>王娟律师</dc:creator>
  <cp:lastModifiedBy>Administrator</cp:lastModifiedBy>
  <dcterms:modified xsi:type="dcterms:W3CDTF">2022-07-27T00:41:58Z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806630BABD544593A8B80DF7D67E8F87</vt:lpwstr>
  </property>
</Properties>
</file>