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r>
        <w:rPr>
          <w:rFonts w:hint="eastAsia" w:hAnsi="黑体"/>
          <w:sz w:val="36"/>
          <w:szCs w:val="36"/>
        </w:rPr>
        <w:t>附件1</w:t>
      </w: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蓝山县科技和工业信息化局</w:t>
      </w:r>
      <w:r>
        <w:rPr>
          <w:rFonts w:ascii="Times New Roman" w:hAnsi="Times New Roman" w:eastAsia="方正小标宋简体" w:cs="Times New Roman"/>
          <w:sz w:val="72"/>
          <w:szCs w:val="72"/>
        </w:rPr>
        <w:t>部门决算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spacing w:line="540" w:lineRule="exact"/>
        <w:jc w:val="center"/>
        <w:rPr>
          <w:rFonts w:ascii="Times New Roman" w:hAnsi="Times New Roman" w:cs="Times New Roman"/>
          <w:sz w:val="56"/>
          <w:szCs w:val="56"/>
        </w:rPr>
      </w:pPr>
    </w:p>
    <w:p>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蓝山县科技和工业信息化局</w:t>
      </w:r>
      <w:r>
        <w:rPr>
          <w:rFonts w:ascii="Times New Roman" w:hAnsi="Times New Roman" w:cs="Times New Roman"/>
          <w:bCs/>
          <w:sz w:val="32"/>
          <w:szCs w:val="32"/>
        </w:rPr>
        <w:t>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蓝山县科技和工业信息化局</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负责全县科学技术进步的宏观管理和统筹协调，优化科技资源配置，组织实施科技重大专项。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负责组织实施县级科技计划工作，牵头组织全县农村和社会发展领域的科学进步工作，牵头组织协调促进全县产学研结合工作。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主管全县高新技术的研究开发、成果转化以及产业化工作，会同有关部门提出全县科技体制改革的建议与措施，推进全县创新体系建设，审核相关科研机构的组建和调整。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拟定全县对外科技合作与交流的规划和相关措施，负责归口管理的县级科技经费预决算和经费使用的监督管理，负责全县科学技术普及工作、科技人才有关工作、科技奖励、专利奖励评审与省市科技奖励等。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促进科技与金融结合，建立科技金融服务的统筹协调机制，指导、协调知识产权工作，归口管理全县地震工作。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贯彻落实国家、省有关内外贸易、国际经济合作和招商引资、承接产业转移的发展战略、方针、政策；拟定全县国内外贸易、招商引资、承接产业转移、对外援助、对外投资和对外经济合作的规范性文件。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负责推进流通产业结构调整，指导流通企业改革，促进城乡市场发展，指导大宗产品批发市场规划和城市商业网点规划等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负责牵头协调整顿和规范市场经济秩序的有关工作。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负责组织实施重要消费品市场调控等工作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贯彻执行国家进出口商品、加工贸易管理文件和进出口管理商品等总量计划。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贯彻执行国家对外技术贸易、出口管制以及鼓励技术和成套设备进出口的政策。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牵头拟订服务贸易发展规划、推荐服务外包平台建设，依法管理和监督对外承包工程、对外劳务合作。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rPr>
        <w:t>贯彻执行我国多边双边（含区域、自由贸易区）经贸合作战略和政策，牵头承担全县商务领域涉及世界贸易组织事物的相关工作。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rPr>
        <w:t>贯彻执行国家对外援助政策和方案，协调管理全县对外援助及多双边对我县的无偿援助和赠款。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rPr>
        <w:t>承担商业、物资、二轻工业等系统的国有资产管理和行业管理工作。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rPr>
        <w:t>做好异地蓝山商会的联络、服务工作，承担县直招商小分队服务协调领导小组的日常工作。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rPr>
        <w:t>负责对外开放口岸的规划、申报、协调、联系、推动建立大通关机制。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十八）</w:t>
      </w:r>
      <w:r>
        <w:rPr>
          <w:rFonts w:hint="default" w:ascii="Times New Roman" w:hAnsi="Times New Roman" w:eastAsia="仿宋_GB2312" w:cs="Times New Roman"/>
          <w:sz w:val="32"/>
          <w:szCs w:val="32"/>
        </w:rPr>
        <w:t>负责全县工业经济的日常运行调节、编制、综合管理、组织协调等一系列工作。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十九）</w:t>
      </w:r>
      <w:r>
        <w:rPr>
          <w:rFonts w:hint="default" w:ascii="Times New Roman" w:hAnsi="Times New Roman" w:eastAsia="仿宋_GB2312" w:cs="Times New Roman"/>
          <w:sz w:val="32"/>
          <w:szCs w:val="32"/>
        </w:rPr>
        <w:t>拟定全县新型工业化的发展站略、规划拟定并组织实施工业、信息化的发展专项规划。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起草工业和信息化领域的规范性文件，织拟定全县工业企业技术进步的发展战略，推进工业行业体制改革和管理创新。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研究提出促进全县非公有制和中小企业发展，参与拟定能源节约和资源综合利用规划，综合协调经济运行中与公路等运输及通信、邮政有关的重大剖析等。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rPr>
        <w:t>组织拟定信息化发展战略、协调处理网络与信息安全的重大事件。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二十二）</w:t>
      </w:r>
      <w:r>
        <w:rPr>
          <w:rFonts w:hint="default" w:ascii="Times New Roman" w:hAnsi="Times New Roman" w:eastAsia="仿宋_GB2312" w:cs="Times New Roman"/>
          <w:sz w:val="32"/>
          <w:szCs w:val="32"/>
        </w:rPr>
        <w:t>根据国家统一规划，协调全县公用通信网、互联网、广播电视网等，促进网络共享监督信息服务市场。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二十三）</w:t>
      </w:r>
      <w:r>
        <w:rPr>
          <w:rFonts w:hint="default" w:ascii="Times New Roman" w:hAnsi="Times New Roman" w:eastAsia="仿宋_GB2312" w:cs="Times New Roman"/>
          <w:sz w:val="32"/>
          <w:szCs w:val="32"/>
        </w:rPr>
        <w:t>负责国防科技工业的综合协调和管理，承担全县民用爆炸物品的行业管理工作。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二十四）</w:t>
      </w:r>
      <w:r>
        <w:rPr>
          <w:rFonts w:hint="default" w:ascii="Times New Roman" w:hAnsi="Times New Roman" w:eastAsia="仿宋_GB2312" w:cs="Times New Roman"/>
          <w:sz w:val="32"/>
          <w:szCs w:val="32"/>
        </w:rPr>
        <w:t>负责组织全县工业、信息领域人才开发与培训，贯彻执行电力、医药、食品等行业的规划和行业规范。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二十五）</w:t>
      </w:r>
      <w:r>
        <w:rPr>
          <w:rFonts w:hint="default" w:ascii="Times New Roman" w:hAnsi="Times New Roman" w:eastAsia="仿宋_GB2312" w:cs="Times New Roman"/>
          <w:sz w:val="32"/>
          <w:szCs w:val="32"/>
        </w:rPr>
        <w:t>负责对下属机构提出意见，报机构编制部门明确。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二十六）</w:t>
      </w:r>
      <w:r>
        <w:rPr>
          <w:rFonts w:hint="default" w:ascii="Times New Roman" w:hAnsi="Times New Roman" w:eastAsia="仿宋_GB2312" w:cs="Times New Roman"/>
          <w:sz w:val="32"/>
          <w:szCs w:val="32"/>
        </w:rPr>
        <w:t>承办县委、县政府交办的其他事项。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 w:val="0"/>
          <w:bCs w:val="0"/>
          <w:kern w:val="0"/>
          <w:sz w:val="32"/>
          <w:szCs w:val="32"/>
          <w:lang w:val="en-US" w:eastAsia="zh-CN"/>
        </w:rPr>
        <w:t>单位</w:t>
      </w:r>
      <w:r>
        <w:rPr>
          <w:rFonts w:hint="default" w:ascii="Times New Roman" w:hAnsi="Times New Roman" w:eastAsia="仿宋_GB2312" w:cs="Times New Roman"/>
          <w:b w:val="0"/>
          <w:bCs w:val="0"/>
          <w:sz w:val="32"/>
          <w:szCs w:val="32"/>
        </w:rPr>
        <w:t>内设机构包括：办公室、政工股、科技股、政策法规股、外经外贸股、商贸市场股、工业与信息化股、能源与军民融合推进股、外国专家理服务股</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楷体_GB2312" w:hAnsi="宋体" w:eastAsia="楷体_GB2312" w:cs="Times New Roman"/>
          <w:b/>
          <w:bCs/>
          <w:kern w:val="0"/>
          <w:sz w:val="32"/>
          <w:szCs w:val="32"/>
        </w:rPr>
        <w:t>（二）决算单位构成。</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Cs/>
          <w:kern w:val="0"/>
          <w:sz w:val="32"/>
          <w:szCs w:val="32"/>
        </w:rPr>
        <w:t>单位20</w:t>
      </w:r>
      <w:r>
        <w:rPr>
          <w:rFonts w:hint="default"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年部门决算汇总公开单位构成包括：</w:t>
      </w:r>
      <w:r>
        <w:rPr>
          <w:rFonts w:hint="default" w:ascii="Times New Roman" w:hAnsi="Times New Roman" w:eastAsia="仿宋_GB2312" w:cs="Times New Roman"/>
          <w:bCs/>
          <w:kern w:val="0"/>
          <w:sz w:val="32"/>
          <w:szCs w:val="32"/>
          <w:lang w:val="en-US" w:eastAsia="zh-CN"/>
        </w:rPr>
        <w:t>蓝山县科技和工业信息化局单位</w:t>
      </w:r>
      <w:r>
        <w:rPr>
          <w:rFonts w:hint="default" w:ascii="Times New Roman" w:hAnsi="Times New Roman" w:eastAsia="仿宋_GB2312" w:cs="Times New Roman"/>
          <w:bCs/>
          <w:kern w:val="0"/>
          <w:sz w:val="32"/>
          <w:szCs w:val="32"/>
        </w:rPr>
        <w:t>本级</w:t>
      </w:r>
      <w:r>
        <w:rPr>
          <w:rFonts w:hint="default" w:ascii="Times New Roman" w:hAnsi="Times New Roman" w:eastAsia="仿宋_GB2312" w:cs="Times New Roman"/>
          <w:bCs/>
          <w:kern w:val="0"/>
          <w:sz w:val="32"/>
          <w:szCs w:val="32"/>
          <w:lang w:val="en-US" w:eastAsia="zh-CN"/>
        </w:rPr>
        <w:t>。</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1510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24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190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164</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Times New Roman" w:hAnsi="Times New Roman" w:eastAsia="仿宋_GB2312" w:cs="Times New Roman"/>
                <w:color w:val="000000"/>
                <w:sz w:val="22"/>
              </w:rPr>
            </w:pPr>
            <w:r>
              <w:rPr>
                <w:rFonts w:hint="eastAsia" w:ascii="Times New Roman" w:hAnsi="Times New Roman" w:eastAsia="仿宋_GB2312" w:cs="Times New Roman"/>
                <w:kern w:val="0"/>
                <w:szCs w:val="21"/>
                <w:lang w:val="en-US" w:eastAsia="zh-CN"/>
              </w:rPr>
              <w:t>八</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卫生健康</w:t>
            </w:r>
            <w:r>
              <w:rPr>
                <w:rFonts w:hint="eastAsia" w:ascii="Times New Roman" w:hAnsi="Times New Roman" w:eastAsia="仿宋_GB2312" w:cs="Times New Roman"/>
                <w:kern w:val="0"/>
                <w:szCs w:val="21"/>
              </w:rPr>
              <w:t>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kern w:val="0"/>
                <w:szCs w:val="21"/>
                <w:lang w:val="en-US" w:eastAsia="zh-CN"/>
              </w:rPr>
              <w:t>九</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商品服务业等</w:t>
            </w:r>
            <w:r>
              <w:rPr>
                <w:rFonts w:hint="eastAsia" w:ascii="Times New Roman" w:hAnsi="Times New Roman" w:eastAsia="仿宋_GB2312" w:cs="Times New Roman"/>
                <w:kern w:val="0"/>
                <w:szCs w:val="21"/>
              </w:rPr>
              <w:t>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380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农林水</w:t>
            </w:r>
            <w:r>
              <w:rPr>
                <w:rFonts w:hint="eastAsia" w:ascii="Times New Roman" w:hAnsi="Times New Roman" w:eastAsia="仿宋_GB2312" w:cs="Times New Roman"/>
                <w:kern w:val="0"/>
                <w:szCs w:val="21"/>
              </w:rPr>
              <w:t>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1266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3525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val="0"/>
                <w:bCs w:val="0"/>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3525</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886"/>
        <w:gridCol w:w="1720"/>
        <w:gridCol w:w="122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60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2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2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2011301</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81"/>
              </w:tabs>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2011303</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机关服务</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2011308</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招商引资</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501"/>
              </w:tabs>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2019999</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441" w:firstLineChars="0"/>
              <w:jc w:val="center"/>
              <w:rPr>
                <w:rFonts w:ascii="Times New Roman" w:hAnsi="Times New Roman" w:eastAsia="仿宋_GB2312" w:cs="Times New Roman"/>
              </w:rPr>
            </w:pPr>
            <w:r>
              <w:rPr>
                <w:rFonts w:hint="eastAsia" w:ascii="Times New Roman" w:hAnsi="Times New Roman" w:eastAsia="仿宋_GB2312" w:cs="Times New Roman"/>
              </w:rPr>
              <w:t>2060101</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行政运行</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2069999</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其他科学技术支出</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2080501</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2080599</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1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死亡抚恤</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2101101</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310" w:firstLineChars="0"/>
              <w:jc w:val="left"/>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2150299</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其他制造业支出</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2150899</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其他支持中小企业发展和管理支出</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2160201</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2160299</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imes New Roman" w:hAnsi="Times New Roman" w:eastAsia="仿宋_GB2312" w:cs="Times New Roman"/>
              </w:rPr>
            </w:pPr>
            <w:r>
              <w:rPr>
                <w:rFonts w:hint="eastAsia" w:ascii="Times New Roman" w:hAnsi="Times New Roman" w:eastAsia="仿宋_GB2312" w:cs="Times New Roman"/>
              </w:rPr>
              <w:t>　其他商业流通事务支出</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2160699</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rPr>
              <w:t>其他涉外发展服务支出</w:t>
            </w:r>
          </w:p>
        </w:tc>
        <w:tc>
          <w:tcPr>
            <w:tcW w:w="12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6" w:type="pct"/>
        <w:jc w:val="center"/>
        <w:tblLayout w:type="autofit"/>
        <w:tblCellMar>
          <w:top w:w="0" w:type="dxa"/>
          <w:left w:w="108" w:type="dxa"/>
          <w:bottom w:w="0" w:type="dxa"/>
          <w:right w:w="108" w:type="dxa"/>
        </w:tblCellMar>
      </w:tblPr>
      <w:tblGrid>
        <w:gridCol w:w="2102"/>
        <w:gridCol w:w="3583"/>
        <w:gridCol w:w="1556"/>
        <w:gridCol w:w="1012"/>
        <w:gridCol w:w="1012"/>
        <w:gridCol w:w="1556"/>
        <w:gridCol w:w="1012"/>
        <w:gridCol w:w="2376"/>
      </w:tblGrid>
      <w:tr>
        <w:tblPrEx>
          <w:tblCellMar>
            <w:top w:w="0" w:type="dxa"/>
            <w:left w:w="108" w:type="dxa"/>
            <w:bottom w:w="0" w:type="dxa"/>
            <w:right w:w="108" w:type="dxa"/>
          </w:tblCellMar>
        </w:tblPrEx>
        <w:trPr>
          <w:trHeight w:val="595" w:hRule="atLeast"/>
          <w:jc w:val="center"/>
        </w:trPr>
        <w:tc>
          <w:tcPr>
            <w:tcW w:w="199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7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6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7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6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99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4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99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3525</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733</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2792</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2011301</w:t>
            </w:r>
          </w:p>
        </w:tc>
        <w:tc>
          <w:tcPr>
            <w:tcW w:w="126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行政运行</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314</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314</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2011303</w:t>
            </w:r>
          </w:p>
        </w:tc>
        <w:tc>
          <w:tcPr>
            <w:tcW w:w="126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机关服务</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1066</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1066</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2011308</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招商引资</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126</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126</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501"/>
              </w:tabs>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2019999</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441" w:firstLineChars="0"/>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2060101</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141</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141</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2069999</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其他科学技术支出</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48</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126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126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97</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97</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00"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126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310" w:firstLineChars="0"/>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2150299</w:t>
            </w:r>
          </w:p>
        </w:tc>
        <w:tc>
          <w:tcPr>
            <w:tcW w:w="126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其他制造业支出</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963</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963</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2150899</w:t>
            </w:r>
          </w:p>
        </w:tc>
        <w:tc>
          <w:tcPr>
            <w:tcW w:w="126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其他支持中小企业发展和管理支出</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303</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303</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2160201</w:t>
            </w:r>
          </w:p>
        </w:tc>
        <w:tc>
          <w:tcPr>
            <w:tcW w:w="1260" w:type="pct"/>
            <w:tcBorders>
              <w:top w:val="single" w:color="auto" w:sz="4" w:space="0"/>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54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94</w:t>
            </w:r>
          </w:p>
        </w:tc>
        <w:tc>
          <w:tcPr>
            <w:tcW w:w="3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w:t>
            </w:r>
          </w:p>
        </w:tc>
        <w:tc>
          <w:tcPr>
            <w:tcW w:w="3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　其他商业流通事务支出</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156</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2160699</w:t>
            </w:r>
          </w:p>
        </w:tc>
        <w:tc>
          <w:tcPr>
            <w:tcW w:w="1260" w:type="pct"/>
            <w:tcBorders>
              <w:top w:val="nil"/>
              <w:left w:val="nil"/>
              <w:bottom w:val="single" w:color="auto" w:sz="4" w:space="0"/>
              <w:right w:val="single" w:color="auto" w:sz="4" w:space="0"/>
            </w:tcBorders>
            <w:shd w:val="clear" w:color="000000" w:fill="FFFFFF"/>
            <w:noWrap/>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其他涉外发展服务支出</w:t>
            </w:r>
          </w:p>
        </w:tc>
        <w:tc>
          <w:tcPr>
            <w:tcW w:w="547"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130</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130</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both"/>
        <w:textAlignment w:val="center"/>
        <w:rPr>
          <w:rFonts w:ascii="Times New Roman" w:hAnsi="Times New Roman" w:eastAsia="黑体" w:cs="Times New Roman"/>
          <w:color w:val="000000"/>
          <w:kern w:val="0"/>
          <w:sz w:val="36"/>
          <w:szCs w:val="36"/>
          <w:lang w:bidi="ar"/>
        </w:rPr>
      </w:pPr>
    </w:p>
    <w:p>
      <w:pPr>
        <w:widowControl/>
        <w:spacing w:after="156" w:afterLines="50"/>
        <w:ind w:firstLine="3600" w:firstLineChars="10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jc w:val="center"/>
        <w:tblLayout w:type="fixed"/>
        <w:tblCellMar>
          <w:top w:w="0" w:type="dxa"/>
          <w:left w:w="108" w:type="dxa"/>
          <w:bottom w:w="0" w:type="dxa"/>
          <w:right w:w="108" w:type="dxa"/>
        </w:tblCellMar>
      </w:tblPr>
      <w:tblGrid>
        <w:gridCol w:w="3516"/>
        <w:gridCol w:w="616"/>
        <w:gridCol w:w="696"/>
        <w:gridCol w:w="3012"/>
        <w:gridCol w:w="493"/>
        <w:gridCol w:w="840"/>
        <w:gridCol w:w="1380"/>
        <w:gridCol w:w="1768"/>
        <w:gridCol w:w="1899"/>
      </w:tblGrid>
      <w:tr>
        <w:tblPrEx>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0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9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1510</w:t>
            </w: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1510</w:t>
            </w: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190</w:t>
            </w: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190</w:t>
            </w: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164</w:t>
            </w: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164</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八</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卫生健康</w:t>
            </w:r>
            <w:r>
              <w:rPr>
                <w:rFonts w:hint="eastAsia" w:ascii="Times New Roman" w:hAnsi="Times New Roman" w:eastAsia="仿宋_GB2312" w:cs="Times New Roman"/>
                <w:kern w:val="0"/>
                <w:szCs w:val="21"/>
              </w:rPr>
              <w:t>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九</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商品服务业等</w:t>
            </w:r>
            <w:r>
              <w:rPr>
                <w:rFonts w:hint="eastAsia" w:ascii="Times New Roman" w:hAnsi="Times New Roman" w:eastAsia="仿宋_GB2312" w:cs="Times New Roman"/>
                <w:kern w:val="0"/>
                <w:szCs w:val="21"/>
              </w:rPr>
              <w:t>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380</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380</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十</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资源勘探工业信息等支出</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1266</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1266</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8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69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301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1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3525</w:t>
            </w:r>
            <w:r>
              <w:rPr>
                <w:rFonts w:ascii="Times New Roman" w:hAnsi="Times New Roman" w:eastAsia="仿宋_GB2312" w:cs="Times New Roman"/>
                <w:kern w:val="0"/>
                <w:sz w:val="22"/>
              </w:rPr>
              <w:t>　</w:t>
            </w:r>
          </w:p>
        </w:tc>
        <w:tc>
          <w:tcPr>
            <w:tcW w:w="1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392"/>
        <w:gridCol w:w="3475"/>
        <w:gridCol w:w="2956"/>
        <w:gridCol w:w="3438"/>
        <w:gridCol w:w="2958"/>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3525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2011301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314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314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2011303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1066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2011308</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招商引资</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tabs>
                <w:tab w:val="left" w:pos="501"/>
              </w:tabs>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2019999</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441" w:firstLineChars="0"/>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2060101</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141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2069999</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其他科学技术支出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52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527" w:type="dxa"/>
            <w:tcBorders>
              <w:top w:val="nil"/>
              <w:left w:val="nil"/>
              <w:bottom w:val="single" w:color="auto" w:sz="4" w:space="0"/>
              <w:right w:val="single" w:color="auto" w:sz="4" w:space="0"/>
            </w:tcBorders>
            <w:shd w:val="clear" w:color="auto" w:fill="auto"/>
            <w:vAlign w:val="center"/>
          </w:tcPr>
          <w:p>
            <w:pPr>
              <w:ind w:firstLine="310" w:firstLineChars="0"/>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其他制造业支出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其他支持中小企业发展和管理支出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2160201</w:t>
            </w:r>
          </w:p>
        </w:tc>
        <w:tc>
          <w:tcPr>
            <w:tcW w:w="3527"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300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94</w:t>
            </w:r>
          </w:p>
        </w:tc>
        <w:tc>
          <w:tcPr>
            <w:tcW w:w="3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94</w:t>
            </w:r>
          </w:p>
        </w:tc>
        <w:tc>
          <w:tcPr>
            <w:tcW w:w="300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　其他商业流通事务支出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2160699</w:t>
            </w:r>
          </w:p>
        </w:tc>
        <w:tc>
          <w:tcPr>
            <w:tcW w:w="3527" w:type="dxa"/>
            <w:tcBorders>
              <w:top w:val="nil"/>
              <w:left w:val="nil"/>
              <w:bottom w:val="single" w:color="auto" w:sz="8" w:space="0"/>
              <w:right w:val="single" w:color="auto" w:sz="4" w:space="0"/>
            </w:tcBorders>
            <w:shd w:val="clear" w:color="auto" w:fill="auto"/>
            <w:vAlign w:val="center"/>
          </w:tcPr>
          <w:p>
            <w:pP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其他涉外发展服务支出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黑体" w:cs="Times New Roman"/>
          <w:color w:val="000000"/>
          <w:kern w:val="0"/>
          <w:sz w:val="36"/>
          <w:szCs w:val="36"/>
          <w:lang w:bidi="ar"/>
        </w:rPr>
      </w:pPr>
      <w:r>
        <w:rPr>
          <w:rFonts w:ascii="Times New Roman" w:hAnsi="Times New Roman" w:eastAsia="仿宋_GB2312" w:cs="Times New Roman"/>
          <w:bCs/>
          <w:kern w:val="0"/>
          <w:szCs w:val="21"/>
        </w:rPr>
        <w:br w:type="page"/>
      </w:r>
      <w:bookmarkStart w:id="2" w:name="RANGE!A1:I34"/>
      <w:r>
        <w:rPr>
          <w:rFonts w:hint="eastAsia" w:ascii="Times New Roman" w:hAnsi="Times New Roman" w:eastAsia="仿宋_GB2312" w:cs="Times New Roman"/>
          <w:bCs/>
          <w:kern w:val="0"/>
          <w:szCs w:val="21"/>
          <w:lang w:val="en-US" w:eastAsia="zh-CN"/>
        </w:rPr>
        <w:t xml:space="preserve">                         </w:t>
      </w:r>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557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3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63</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spacing w:line="360" w:lineRule="auto"/>
        <w:ind w:firstLine="3640" w:firstLineChars="7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759.45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工资普调，导致</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、奖金、绩效、社会保险等收入、支出增加。</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2792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759.45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工资普调，导致</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、奖金、绩效、社会保险等收入、支出增加。</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1462.12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70.88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、奖金、绩效、社会保险等收入、支出增加、</w:t>
      </w:r>
      <w:r>
        <w:rPr>
          <w:rFonts w:hint="default" w:ascii="Times New Roman" w:hAnsi="Times New Roman" w:eastAsia="仿宋_GB2312" w:cs="Times New Roman"/>
          <w:sz w:val="32"/>
          <w:szCs w:val="32"/>
          <w:lang w:val="en-US" w:eastAsia="zh-CN"/>
        </w:rPr>
        <w:t>专用材料费、委托业务费增加</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万元，主要用于以下方面：</w:t>
      </w:r>
      <w:r>
        <w:rPr>
          <w:rFonts w:hint="default" w:ascii="Times New Roman" w:hAnsi="Times New Roman" w:eastAsia="仿宋_GB2312" w:cs="Times New Roman"/>
          <w:sz w:val="32"/>
          <w:szCs w:val="32"/>
          <w:lang w:eastAsia="zh-CN"/>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1510</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42.84</w:t>
      </w:r>
      <w:r>
        <w:rPr>
          <w:rFonts w:hint="default" w:ascii="Times New Roman" w:hAnsi="Times New Roman" w:eastAsia="仿宋_GB2312" w:cs="Times New Roman"/>
          <w:sz w:val="32"/>
          <w:szCs w:val="32"/>
          <w:lang w:val="en-US" w:eastAsia="zh-CN"/>
        </w:rPr>
        <w:t>%；科学技术</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w:t>
      </w:r>
      <w:r>
        <w:rPr>
          <w:rFonts w:hint="eastAsia" w:ascii="Times New Roman" w:hAnsi="Times New Roman" w:eastAsia="仿宋_GB2312" w:cs="Times New Roman"/>
          <w:sz w:val="32"/>
          <w:szCs w:val="32"/>
          <w:lang w:val="en-US" w:eastAsia="zh-CN"/>
        </w:rPr>
        <w:t>出190</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5.39</w:t>
      </w:r>
      <w:r>
        <w:rPr>
          <w:rFonts w:hint="default" w:ascii="Times New Roman" w:hAnsi="Times New Roman" w:eastAsia="仿宋_GB2312" w:cs="Times New Roman"/>
          <w:sz w:val="32"/>
          <w:szCs w:val="32"/>
          <w:lang w:val="en-US" w:eastAsia="zh-CN"/>
        </w:rPr>
        <w:t>%；社会保障和就业</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4.65</w:t>
      </w:r>
      <w:r>
        <w:rPr>
          <w:rFonts w:hint="default" w:ascii="Times New Roman" w:hAnsi="Times New Roman" w:eastAsia="仿宋_GB2312" w:cs="Times New Roman"/>
          <w:sz w:val="32"/>
          <w:szCs w:val="32"/>
          <w:lang w:val="en-US" w:eastAsia="zh-CN"/>
        </w:rPr>
        <w:t>%；卫生健康</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0.43</w:t>
      </w:r>
      <w:r>
        <w:rPr>
          <w:rFonts w:hint="default" w:ascii="Times New Roman" w:hAnsi="Times New Roman" w:eastAsia="仿宋_GB2312" w:cs="Times New Roman"/>
          <w:sz w:val="32"/>
          <w:szCs w:val="32"/>
          <w:lang w:val="en-US" w:eastAsia="zh-CN"/>
        </w:rPr>
        <w:t>%；资源勘探工业信息等支出</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1266</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35.91</w:t>
      </w:r>
      <w:r>
        <w:rPr>
          <w:rFonts w:hint="default" w:ascii="Times New Roman" w:hAnsi="Times New Roman" w:eastAsia="仿宋_GB2312" w:cs="Times New Roman"/>
          <w:sz w:val="32"/>
          <w:szCs w:val="32"/>
          <w:lang w:val="en-US" w:eastAsia="zh-CN"/>
        </w:rPr>
        <w:t>%；商</w:t>
      </w:r>
      <w:r>
        <w:rPr>
          <w:rFonts w:hint="eastAsia" w:ascii="Times New Roman" w:hAnsi="Times New Roman" w:eastAsia="仿宋_GB2312" w:cs="Times New Roman"/>
          <w:sz w:val="32"/>
          <w:szCs w:val="32"/>
          <w:lang w:val="en-US" w:eastAsia="zh-CN"/>
        </w:rPr>
        <w:t>品</w:t>
      </w:r>
      <w:r>
        <w:rPr>
          <w:rFonts w:hint="default" w:ascii="Times New Roman" w:hAnsi="Times New Roman" w:eastAsia="仿宋_GB2312" w:cs="Times New Roman"/>
          <w:sz w:val="32"/>
          <w:szCs w:val="32"/>
          <w:lang w:val="en-US" w:eastAsia="zh-CN"/>
        </w:rPr>
        <w:t>服务业等</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10.78</w:t>
      </w:r>
      <w:r>
        <w:rPr>
          <w:rFonts w:hint="default" w:ascii="Times New Roman" w:hAnsi="Times New Roman" w:eastAsia="仿宋_GB2312" w:cs="Times New Roman"/>
          <w:sz w:val="32"/>
          <w:szCs w:val="32"/>
          <w:lang w:val="en-US" w:eastAsia="zh-CN"/>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875.43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3525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402.65</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政府办公厅（室）及相关机构事务</w:t>
      </w:r>
      <w:r>
        <w:rPr>
          <w:rFonts w:hint="eastAsia" w:ascii="Times New Roman" w:hAnsi="Times New Roman" w:eastAsia="仿宋_GB2312" w:cs="Times New Roman"/>
          <w:sz w:val="32"/>
          <w:szCs w:val="32"/>
          <w:lang w:val="en-US" w:eastAsia="zh-CN"/>
        </w:rPr>
        <w:t>（款）行政运行（项）</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742.91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203.25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、奖金、绩效、社会保险等收入、支出增加、</w:t>
      </w:r>
      <w:r>
        <w:rPr>
          <w:rFonts w:hint="default" w:ascii="Times New Roman" w:hAnsi="Times New Roman" w:eastAsia="仿宋_GB2312" w:cs="Times New Roman"/>
          <w:sz w:val="32"/>
          <w:szCs w:val="32"/>
          <w:lang w:val="en-US" w:eastAsia="zh-CN"/>
        </w:rPr>
        <w:t>专用材料费、委托业务费增加</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科学技术（类）科学技术管理事务（款）行政运行（项）</w:t>
      </w:r>
      <w:r>
        <w:rPr>
          <w:rFonts w:ascii="Times New Roman" w:hAnsi="Times New Roman" w:eastAsia="仿宋_GB2312" w:cs="Times New Roman"/>
          <w:sz w:val="32"/>
          <w:szCs w:val="32"/>
        </w:rPr>
        <w:t>。</w:t>
      </w:r>
    </w:p>
    <w:p>
      <w:pPr>
        <w:keepNext w:val="0"/>
        <w:keepLines w:val="0"/>
        <w:pageBreakBefore w:val="0"/>
        <w:widowControl w:val="0"/>
        <w:kinsoku/>
        <w:overflowPunct/>
        <w:autoSpaceDE/>
        <w:autoSpaceDN/>
        <w:bidi w:val="0"/>
        <w:adjustRightInd/>
        <w:snapToGrid/>
        <w:spacing w:line="600" w:lineRule="exact"/>
        <w:ind w:left="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542.86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本年</w:t>
      </w:r>
      <w:r>
        <w:rPr>
          <w:rFonts w:hint="eastAsia" w:ascii="仿宋_GB2312" w:hAnsi="仿宋_GB2312" w:eastAsia="仿宋_GB2312" w:cs="仿宋_GB2312"/>
          <w:color w:val="auto"/>
          <w:kern w:val="2"/>
          <w:sz w:val="32"/>
          <w:szCs w:val="32"/>
          <w:lang w:val="en-US" w:eastAsia="zh-CN" w:bidi="ar-SA"/>
        </w:rPr>
        <w:t>科技型企业知识价值信用贷款完成率，排名全市第1位。</w:t>
      </w:r>
      <w:r>
        <w:rPr>
          <w:rFonts w:hint="eastAsia" w:ascii="仿宋_GB2312" w:hAnsi="仿宋_GB2312" w:eastAsia="仿宋_GB2312" w:cs="仿宋_GB2312"/>
          <w:b w:val="0"/>
          <w:bCs w:val="0"/>
          <w:color w:val="auto"/>
          <w:sz w:val="32"/>
          <w:szCs w:val="32"/>
          <w:lang w:val="en-US" w:eastAsia="zh-CN"/>
        </w:rPr>
        <w:t>完成科技型中小企业评价入库共114家，申报高新技术企业13家、认定8家，申报科技研发项目10项，为企业搭建省级创新平台4家，其中省级孵化器、省级工程技术研究中心、省级众创空间、省级科技成果转移转化服务机构各1家，科技工作费用支出也相应增加。</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社会保障和就业（类）行政事业单位养老支出（款）机关事业单位基本养老保险缴费支出（项）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365.58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、奖金、绩效、社会保险支出增加。</w:t>
      </w:r>
    </w:p>
    <w:p>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卫生健康（类）行政事业单位医疗（款）行政单位医疗（项）</w:t>
      </w:r>
    </w:p>
    <w:p>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106.99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、奖金、绩效、社会保险支出增加。</w:t>
      </w:r>
    </w:p>
    <w:p>
      <w:pPr>
        <w:pStyle w:val="16"/>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4、资源勘探工业信息等（类）支持中小企业发展和管理支出（款）其他支持中小企业发展和管理支出（项）</w:t>
      </w:r>
      <w:r>
        <w:rPr>
          <w:rFonts w:hint="default" w:ascii="Times New Roman" w:hAnsi="Times New Roman" w:eastAsia="仿宋_GB2312" w:cs="Times New Roman"/>
          <w:sz w:val="32"/>
          <w:szCs w:val="32"/>
        </w:rPr>
        <w:t>。</w:t>
      </w:r>
    </w:p>
    <w:p>
      <w:pPr>
        <w:pStyle w:val="16"/>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1266</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成年初预算的</w:t>
      </w:r>
      <w:r>
        <w:rPr>
          <w:rFonts w:hint="eastAsia" w:ascii="Times New Roman" w:hAnsi="Times New Roman" w:eastAsia="仿宋_GB2312" w:cs="Times New Roman"/>
          <w:sz w:val="32"/>
          <w:szCs w:val="32"/>
          <w:lang w:val="en-US" w:eastAsia="zh-CN"/>
        </w:rPr>
        <w:t>2532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年初编制此预算科目过小，未编制相关工作</w:t>
      </w:r>
      <w:r>
        <w:rPr>
          <w:rFonts w:hint="default" w:ascii="Times New Roman" w:hAnsi="Times New Roman" w:eastAsia="仿宋_GB2312" w:cs="Times New Roman"/>
          <w:sz w:val="32"/>
          <w:szCs w:val="32"/>
          <w:lang w:eastAsia="zh-CN"/>
        </w:rPr>
        <w:t>。</w:t>
      </w:r>
    </w:p>
    <w:p>
      <w:pPr>
        <w:pStyle w:val="16"/>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5、商业服务业等（类）商业流通事务（款）其他商业流通事务支出（项）</w:t>
      </w:r>
      <w:r>
        <w:rPr>
          <w:rFonts w:hint="default" w:ascii="Times New Roman" w:hAnsi="Times New Roman" w:eastAsia="仿宋_GB2312" w:cs="Times New Roman"/>
          <w:sz w:val="32"/>
          <w:szCs w:val="32"/>
        </w:rPr>
        <w:t>。</w:t>
      </w:r>
    </w:p>
    <w:p>
      <w:pPr>
        <w:pStyle w:val="16"/>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670</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570</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85.07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绩效工资、机关事业单位基本养老保险费、职业年金缴费、职工基本医疗保险缴费、其他社会保障缴费、其他工资福利支出、退休费、抚恤金、奖励金、对其他个人和家庭的补助支出</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9.40</w:t>
      </w:r>
      <w:r>
        <w:rPr>
          <w:rFonts w:hint="default" w:ascii="Times New Roman" w:hAnsi="Times New Roman" w:eastAsia="仿宋_GB2312" w:cs="Times New Roman"/>
          <w:sz w:val="32"/>
          <w:szCs w:val="32"/>
        </w:rPr>
        <w:t>%，包括单位办公费、印刷费、水</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电费、差旅费、</w:t>
      </w:r>
      <w:r>
        <w:rPr>
          <w:rFonts w:hint="eastAsia" w:ascii="Times New Roman" w:hAnsi="Times New Roman" w:eastAsia="仿宋_GB2312" w:cs="Times New Roman"/>
          <w:sz w:val="32"/>
          <w:szCs w:val="32"/>
          <w:lang w:val="en-US" w:eastAsia="zh-CN"/>
        </w:rPr>
        <w:t>租赁费、公务接待费、专用材料费、工会经费、其他交通费用、其他商品和服务支出、办公设备购置</w:t>
      </w:r>
      <w:r>
        <w:rPr>
          <w:rFonts w:hint="default"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pPr>
      <w:r>
        <w:rPr>
          <w:rFonts w:hint="default" w:ascii="Times New Roman" w:hAnsi="Times New Roman" w:eastAsia="仿宋_GB2312" w:cs="Times New Roman"/>
          <w:sz w:val="32"/>
          <w:szCs w:val="32"/>
        </w:rPr>
        <w:t>“三公”经费财政拨款支出预算为</w:t>
      </w:r>
      <w:r>
        <w:rPr>
          <w:rFonts w:hint="eastAsia"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86.27</w:t>
      </w:r>
      <w:r>
        <w:rPr>
          <w:rFonts w:hint="default" w:ascii="Times New Roman" w:hAnsi="Times New Roman" w:eastAsia="仿宋_GB2312" w:cs="Times New Roman"/>
          <w:sz w:val="32"/>
          <w:szCs w:val="32"/>
        </w:rPr>
        <w:t>%，其中：</w:t>
      </w:r>
    </w:p>
    <w:p>
      <w:pPr>
        <w:pStyle w:val="16"/>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rPr>
          <w:rFonts w:hint="default"/>
          <w:u w:val="none"/>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rPr>
        <w:t>因公出国（境）费支出</w:t>
      </w:r>
      <w:r>
        <w:rPr>
          <w:rFonts w:ascii="Times New Roman" w:hAnsi="Times New Roman" w:eastAsia="仿宋_GB2312" w:cs="Times New Roman"/>
          <w:color w:val="auto"/>
          <w:sz w:val="32"/>
          <w:szCs w:val="32"/>
          <w:u w:val="none"/>
        </w:rPr>
        <w:t>。</w:t>
      </w:r>
    </w:p>
    <w:p>
      <w:pPr>
        <w:pStyle w:val="16"/>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86.27</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，决算数小于年初预算数的主要原因是按照上级规定，厉行节约，与上年相比减少14万元，减少84.69%，减少的主要原因是按照上级规定，厉行节约。</w:t>
      </w:r>
    </w:p>
    <w:p>
      <w:pPr>
        <w:pStyle w:val="16"/>
        <w:keepNext w:val="0"/>
        <w:keepLines w:val="0"/>
        <w:pageBreakBefore w:val="0"/>
        <w:widowControl w:val="0"/>
        <w:kinsoku/>
        <w:wordWrap/>
        <w:overflowPunct/>
        <w:topLinePunct w:val="0"/>
        <w:bidi w:val="0"/>
        <w:snapToGrid/>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公务用车购置费及运行维护费支出预算为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hint="default" w:ascii="Times New Roman" w:hAnsi="Times New Roman" w:eastAsia="仿宋_GB2312" w:cs="Times New Roman"/>
          <w:sz w:val="32"/>
          <w:szCs w:val="32"/>
        </w:rPr>
        <w:t>公务用车购置费及运行维护费支出。</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spacing w:line="600" w:lineRule="exact"/>
        <w:ind w:firstLine="640" w:firstLineChars="200"/>
        <w:outlineLvl w:val="2"/>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lang w:val="en-US" w:eastAsia="zh-CN"/>
        </w:rPr>
        <w:t>0万元，占0%，</w:t>
      </w:r>
      <w:r>
        <w:rPr>
          <w:rFonts w:hint="default" w:ascii="Times New Roman" w:hAnsi="Times New Roman" w:eastAsia="仿宋_GB2312" w:cs="Times New Roman"/>
          <w:sz w:val="32"/>
          <w:szCs w:val="32"/>
        </w:rPr>
        <w:t>公务用车购置费及运行维护费支出决算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p>
    <w:p>
      <w:pPr>
        <w:pStyle w:val="16"/>
        <w:numPr>
          <w:ilvl w:val="0"/>
          <w:numId w:val="2"/>
        </w:numPr>
        <w:spacing w:line="600" w:lineRule="exact"/>
        <w:ind w:firstLine="640" w:firstLineChars="200"/>
        <w:outlineLvl w:val="2"/>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lang w:val="en-US" w:eastAsia="zh-CN"/>
        </w:rPr>
        <w:t>0万元，</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lang w:val="en-US" w:eastAsia="zh-CN"/>
        </w:rPr>
        <w:t>0个，累计0人次，开支内容无。</w:t>
      </w:r>
    </w:p>
    <w:p>
      <w:pPr>
        <w:pStyle w:val="16"/>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lang w:val="en-US" w:eastAsia="zh-CN"/>
        </w:rPr>
        <w:t>88万元，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50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200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报销以前年度业务交流等</w:t>
      </w:r>
      <w:r>
        <w:rPr>
          <w:rFonts w:ascii="Times New Roman" w:hAnsi="Times New Roman" w:eastAsia="仿宋_GB2312" w:cs="Times New Roman"/>
          <w:color w:val="auto"/>
          <w:sz w:val="32"/>
          <w:szCs w:val="32"/>
        </w:rPr>
        <w:t>发生的接待支出</w:t>
      </w:r>
      <w:r>
        <w:rPr>
          <w:rFonts w:hint="eastAsia" w:ascii="Times New Roman" w:hAnsi="Times New Roman" w:eastAsia="仿宋_GB2312" w:cs="Times New Roman"/>
          <w:color w:val="auto"/>
          <w:sz w:val="32"/>
          <w:szCs w:val="32"/>
          <w:lang w:eastAsia="zh-CN"/>
        </w:rPr>
        <w:t>以及本年度的接待费用。</w:t>
      </w:r>
    </w:p>
    <w:p>
      <w:pPr>
        <w:pStyle w:val="16"/>
        <w:numPr>
          <w:ilvl w:val="-1"/>
          <w:numId w:val="0"/>
        </w:numPr>
        <w:autoSpaceDE/>
        <w:autoSpaceDN/>
        <w:spacing w:line="600" w:lineRule="exact"/>
        <w:ind w:firstLine="640" w:firstLineChars="200"/>
        <w:outlineLvl w:val="2"/>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rPr>
        <w:t>公务用车购置费及运行维护费支出决算为</w:t>
      </w:r>
      <w:r>
        <w:rPr>
          <w:rFonts w:hint="default" w:ascii="Times New Roman" w:hAnsi="Times New Roman" w:eastAsia="仿宋_GB2312" w:cs="Times New Roman"/>
          <w:sz w:val="32"/>
          <w:szCs w:val="32"/>
          <w:lang w:val="en-US" w:eastAsia="zh-CN"/>
        </w:rPr>
        <w:t>0万元，其中</w:t>
      </w:r>
      <w:r>
        <w:rPr>
          <w:rFonts w:hint="default" w:ascii="Times New Roman" w:hAnsi="Times New Roman" w:eastAsia="仿宋_GB2312" w:cs="Times New Roman"/>
          <w:sz w:val="32"/>
          <w:szCs w:val="32"/>
        </w:rPr>
        <w:t>公务用车购置费</w:t>
      </w:r>
      <w:r>
        <w:rPr>
          <w:rFonts w:hint="default"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0万元，主要是无</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支出，截止202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年12月31日，</w:t>
      </w:r>
      <w:r>
        <w:rPr>
          <w:rFonts w:hint="default" w:ascii="Times New Roman" w:hAnsi="Times New Roman" w:eastAsia="仿宋_GB2312" w:cs="Times New Roman"/>
          <w:sz w:val="32"/>
          <w:szCs w:val="32"/>
        </w:rPr>
        <w:t>我单位开支财政拨款的公务用车保有量为</w:t>
      </w:r>
      <w:r>
        <w:rPr>
          <w:rFonts w:hint="default" w:ascii="Times New Roman" w:hAnsi="Times New Roman" w:eastAsia="仿宋_GB2312" w:cs="Times New Roman"/>
          <w:sz w:val="32"/>
          <w:szCs w:val="32"/>
          <w:lang w:val="en-US" w:eastAsia="zh-CN"/>
        </w:rPr>
        <w:t>0辆。</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本单位无</w:t>
      </w:r>
      <w:r>
        <w:rPr>
          <w:rFonts w:hint="default"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、奖金、绩效、社会保险等收入、支出增加。</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default" w:ascii="Times New Roman" w:hAnsi="Times New Roman" w:eastAsia="仿宋_GB2312" w:cs="Times New Roman"/>
          <w:color w:val="000000"/>
          <w:kern w:val="0"/>
          <w:sz w:val="32"/>
          <w:szCs w:val="32"/>
        </w:rPr>
        <w:t>用于召开</w:t>
      </w:r>
      <w:r>
        <w:rPr>
          <w:rFonts w:hint="eastAsia" w:ascii="Times New Roman" w:hAnsi="Times New Roman" w:eastAsia="仿宋_GB2312" w:cs="Times New Roman"/>
          <w:color w:val="000000"/>
          <w:kern w:val="0"/>
          <w:sz w:val="32"/>
          <w:szCs w:val="32"/>
          <w:lang w:val="en-US" w:eastAsia="zh-CN"/>
        </w:rPr>
        <w:t>0次</w:t>
      </w:r>
      <w:r>
        <w:rPr>
          <w:rFonts w:hint="default" w:ascii="Times New Roman" w:hAnsi="Times New Roman" w:eastAsia="仿宋_GB2312" w:cs="Times New Roman"/>
          <w:color w:val="000000"/>
          <w:kern w:val="0"/>
          <w:sz w:val="32"/>
          <w:szCs w:val="32"/>
        </w:rPr>
        <w:t>会议，</w:t>
      </w:r>
      <w:r>
        <w:rPr>
          <w:rFonts w:hint="eastAsia" w:ascii="Times New Roman" w:hAnsi="Times New Roman" w:eastAsia="仿宋_GB2312" w:cs="Times New Roman"/>
          <w:color w:val="000000"/>
          <w:kern w:val="0"/>
          <w:sz w:val="32"/>
          <w:szCs w:val="32"/>
          <w:lang w:val="en-US" w:eastAsia="zh-CN"/>
        </w:rPr>
        <w:t>人数0人，内容无</w:t>
      </w:r>
      <w:r>
        <w:rPr>
          <w:rFonts w:hint="default" w:ascii="Times New Roman" w:hAnsi="Times New Roman" w:eastAsia="仿宋_GB2312" w:cs="Times New Roman"/>
          <w:color w:val="000000"/>
          <w:kern w:val="0"/>
          <w:sz w:val="32"/>
          <w:szCs w:val="32"/>
        </w:rPr>
        <w:t>；开支培训费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万元，用于</w:t>
      </w:r>
      <w:r>
        <w:rPr>
          <w:rFonts w:hint="eastAsia" w:ascii="Times New Roman" w:hAnsi="Times New Roman" w:eastAsia="仿宋_GB2312" w:cs="Times New Roman"/>
          <w:color w:val="000000"/>
          <w:kern w:val="0"/>
          <w:sz w:val="32"/>
          <w:szCs w:val="32"/>
          <w:lang w:val="en-US" w:eastAsia="zh-CN"/>
        </w:rPr>
        <w:t>开展</w:t>
      </w:r>
      <w:r>
        <w:rPr>
          <w:rFonts w:hint="default" w:ascii="Times New Roman" w:hAnsi="Times New Roman" w:eastAsia="仿宋_GB2312" w:cs="Times New Roman"/>
          <w:color w:val="000000"/>
          <w:kern w:val="0"/>
          <w:sz w:val="32"/>
          <w:szCs w:val="32"/>
          <w:lang w:val="en-US" w:eastAsia="zh-CN"/>
        </w:rPr>
        <w:t>0次培训，人数0人，内容无</w:t>
      </w:r>
      <w:r>
        <w:rPr>
          <w:rFonts w:hint="eastAsia" w:ascii="Times New Roman" w:hAnsi="Times New Roman" w:eastAsia="仿宋_GB2312" w:cs="Times New Roman"/>
          <w:color w:val="000000"/>
          <w:kern w:val="0"/>
          <w:sz w:val="32"/>
          <w:szCs w:val="32"/>
          <w:lang w:val="en-US"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i/>
          <w:color w:val="FF0000"/>
          <w:kern w:val="0"/>
          <w:sz w:val="32"/>
          <w:szCs w:val="32"/>
          <w:lang w:val="en-US" w:eastAsia="zh-CN"/>
        </w:rPr>
      </w:pPr>
      <w:r>
        <w:rPr>
          <w:rFonts w:ascii="Times New Roman" w:hAnsi="Times New Roman" w:eastAsia="仿宋_GB2312" w:cs="Times New Roman"/>
          <w:sz w:val="32"/>
          <w:szCs w:val="32"/>
        </w:rPr>
        <w:t>本部门2024年度政府采购支出总额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万元，其中：政府采购货物支出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万元、政府采购工程支出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万元、政府采购服务支出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万元。授予中小企业合同金额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%，其中：授予小微企业合同金额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p>
    <w:p>
      <w:pPr>
        <w:pStyle w:val="11"/>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本部门202</w:t>
      </w:r>
      <w:r>
        <w:rPr>
          <w:rFonts w:hint="eastAsia" w:ascii="Times New Roman" w:hAnsi="Times New Roman" w:eastAsia="仿宋_GB2312" w:cs="Times New Roman"/>
          <w:b w:val="0"/>
          <w:bCs w:val="0"/>
          <w:color w:val="auto"/>
          <w:kern w:val="0"/>
          <w:sz w:val="32"/>
          <w:szCs w:val="32"/>
          <w:lang w:val="en-US" w:eastAsia="zh-CN" w:bidi="ar"/>
        </w:rPr>
        <w:t>4</w:t>
      </w:r>
      <w:r>
        <w:rPr>
          <w:rFonts w:hint="default" w:ascii="Times New Roman" w:hAnsi="Times New Roman" w:eastAsia="仿宋_GB2312" w:cs="Times New Roman"/>
          <w:b w:val="0"/>
          <w:bCs w:val="0"/>
          <w:color w:val="auto"/>
          <w:kern w:val="0"/>
          <w:sz w:val="32"/>
          <w:szCs w:val="32"/>
          <w:lang w:val="en-US" w:eastAsia="zh-CN" w:bidi="ar"/>
        </w:rPr>
        <w:t>年整体支出</w:t>
      </w:r>
      <w:r>
        <w:rPr>
          <w:rFonts w:hint="eastAsia" w:ascii="Times New Roman" w:hAnsi="Times New Roman" w:eastAsia="仿宋_GB2312" w:cs="Times New Roman"/>
          <w:b w:val="0"/>
          <w:bCs w:val="0"/>
          <w:color w:val="auto"/>
          <w:kern w:val="0"/>
          <w:sz w:val="32"/>
          <w:szCs w:val="32"/>
          <w:lang w:val="en-US" w:eastAsia="zh-CN" w:bidi="ar"/>
        </w:rPr>
        <w:t>3525</w:t>
      </w:r>
      <w:r>
        <w:rPr>
          <w:rFonts w:hint="default" w:ascii="Times New Roman" w:hAnsi="Times New Roman" w:eastAsia="仿宋_GB2312" w:cs="Times New Roman"/>
          <w:b w:val="0"/>
          <w:bCs w:val="0"/>
          <w:color w:val="auto"/>
          <w:kern w:val="0"/>
          <w:sz w:val="32"/>
          <w:szCs w:val="32"/>
          <w:lang w:val="en-US" w:eastAsia="zh-CN" w:bidi="ar"/>
        </w:rPr>
        <w:t>万元，其中项目支出</w:t>
      </w:r>
      <w:r>
        <w:rPr>
          <w:rFonts w:hint="eastAsia" w:ascii="Times New Roman" w:hAnsi="Times New Roman" w:eastAsia="仿宋_GB2312" w:cs="Times New Roman"/>
          <w:b w:val="0"/>
          <w:bCs w:val="0"/>
          <w:color w:val="auto"/>
          <w:kern w:val="0"/>
          <w:sz w:val="32"/>
          <w:szCs w:val="32"/>
          <w:lang w:val="en-US" w:eastAsia="zh-CN" w:bidi="ar"/>
        </w:rPr>
        <w:t>2792</w:t>
      </w:r>
      <w:r>
        <w:rPr>
          <w:rFonts w:hint="default" w:ascii="Times New Roman" w:hAnsi="Times New Roman" w:eastAsia="仿宋_GB2312" w:cs="Times New Roman"/>
          <w:b w:val="0"/>
          <w:bCs w:val="0"/>
          <w:color w:val="auto"/>
          <w:kern w:val="0"/>
          <w:sz w:val="32"/>
          <w:szCs w:val="32"/>
          <w:lang w:val="en-US" w:eastAsia="zh-CN" w:bidi="ar"/>
        </w:rPr>
        <w:t>万元，本年度重点项目支出0万元。</w:t>
      </w:r>
    </w:p>
    <w:p>
      <w:pPr>
        <w:pStyle w:val="11"/>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ascii="Times New Roman" w:hAnsi="Times New Roman" w:cs="Times New Roman"/>
          <w:sz w:val="72"/>
          <w:szCs w:val="72"/>
        </w:rPr>
      </w:pPr>
      <w:r>
        <w:rPr>
          <w:rFonts w:hint="eastAsia" w:ascii="仿宋" w:hAnsi="仿宋" w:eastAsia="仿宋" w:cs="仿宋"/>
          <w:b w:val="0"/>
          <w:bCs w:val="0"/>
          <w:i w:val="0"/>
          <w:iCs w:val="0"/>
          <w:caps w:val="0"/>
          <w:color w:val="auto"/>
          <w:spacing w:val="0"/>
          <w:sz w:val="30"/>
          <w:szCs w:val="30"/>
          <w:shd w:val="clear" w:fill="FFFFFF"/>
          <w:lang w:val="en-US" w:eastAsia="zh-CN"/>
        </w:rPr>
        <w:t>根据《中共中央 国务院 关于全面实施预算绩效管理的意见》（中共【2018】34号）和中共湖南省委办公厅 湖南省人民政府办公厅《关于全面实施预算绩效管理的实施意见》（湘办发【2019】10号）、《湖南省预算支出绩效评价管理办法》（湘财绩【2020】7号）及《永州市人民政府关于全面推进预算绩效管理的实施意见》（永政发【2013】24号）的文件要求，</w:t>
      </w:r>
      <w:r>
        <w:rPr>
          <w:rFonts w:hint="default" w:ascii="Times New Roman" w:hAnsi="Times New Roman" w:eastAsia="仿宋_GB2312" w:cs="Times New Roman"/>
          <w:color w:val="auto"/>
          <w:kern w:val="2"/>
          <w:sz w:val="32"/>
          <w:szCs w:val="32"/>
        </w:rPr>
        <w:t>本着独立、客观、公正、科学的原则</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本</w:t>
      </w:r>
      <w:r>
        <w:rPr>
          <w:rFonts w:hint="default" w:ascii="Times New Roman" w:hAnsi="Times New Roman" w:eastAsia="仿宋_GB2312" w:cs="Times New Roman"/>
          <w:b w:val="0"/>
          <w:bCs w:val="0"/>
          <w:color w:val="auto"/>
          <w:kern w:val="0"/>
          <w:sz w:val="32"/>
          <w:szCs w:val="32"/>
          <w:lang w:val="en-US" w:eastAsia="zh-CN" w:bidi="ar"/>
        </w:rPr>
        <w:t>单位</w:t>
      </w:r>
      <w:r>
        <w:rPr>
          <w:rFonts w:hint="default" w:ascii="Times New Roman" w:hAnsi="Times New Roman" w:eastAsia="仿宋" w:cs="Times New Roman"/>
          <w:b w:val="0"/>
          <w:bCs w:val="0"/>
          <w:color w:val="auto"/>
          <w:kern w:val="2"/>
          <w:sz w:val="32"/>
          <w:szCs w:val="32"/>
          <w:lang w:val="en-US" w:eastAsia="zh-CN" w:bidi="ar"/>
        </w:rPr>
        <w:t>成立了自评小组，对部门整体支出绩效开展了自评。</w:t>
      </w:r>
      <w:r>
        <w:rPr>
          <w:rFonts w:hint="default" w:ascii="Times New Roman" w:hAnsi="Times New Roman" w:eastAsia="仿宋_GB2312" w:cs="Times New Roman"/>
          <w:b w:val="0"/>
          <w:bCs w:val="0"/>
          <w:i w:val="0"/>
          <w:caps w:val="0"/>
          <w:color w:val="auto"/>
          <w:spacing w:val="0"/>
          <w:sz w:val="32"/>
          <w:szCs w:val="32"/>
          <w:shd w:val="clear" w:fill="FFFFFF"/>
        </w:rPr>
        <w:t>部门</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预算</w:t>
      </w:r>
      <w:r>
        <w:rPr>
          <w:rFonts w:hint="default" w:ascii="Times New Roman" w:hAnsi="Times New Roman" w:eastAsia="仿宋_GB2312" w:cs="Times New Roman"/>
          <w:b w:val="0"/>
          <w:bCs w:val="0"/>
          <w:i w:val="0"/>
          <w:caps w:val="0"/>
          <w:color w:val="auto"/>
          <w:spacing w:val="0"/>
          <w:sz w:val="32"/>
          <w:szCs w:val="32"/>
          <w:shd w:val="clear" w:fill="FFFFFF"/>
        </w:rPr>
        <w:t>整体支出绩效评价自评分为</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合格。预算绩效管理开展情况、绩效目标和绩效评价报告等已作为附件公开</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1、</w:t>
      </w:r>
      <w:r>
        <w:rPr>
          <w:rFonts w:hint="default" w:ascii="Times New Roman" w:hAnsi="Times New Roman" w:eastAsia="仿宋_GB2312" w:cs="Times New Roman"/>
          <w:b w:val="0"/>
          <w:bCs w:val="0"/>
          <w:i w:val="0"/>
          <w:caps w:val="0"/>
          <w:color w:val="000000"/>
          <w:spacing w:val="0"/>
          <w:sz w:val="32"/>
          <w:szCs w:val="32"/>
          <w:shd w:val="clear" w:color="auto" w:fill="FFFFFF"/>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000000"/>
          <w:spacing w:val="0"/>
          <w:sz w:val="32"/>
          <w:szCs w:val="32"/>
          <w:shd w:val="clear" w:color="auto" w:fill="FFFFFF"/>
        </w:rPr>
        <w:t>“三公”经费。</w:t>
      </w:r>
      <w:r>
        <w:rPr>
          <w:rFonts w:hint="default" w:ascii="Times New Roman" w:hAnsi="Times New Roman" w:eastAsia="仿宋_GB2312" w:cs="Times New Roman"/>
          <w:sz w:val="32"/>
          <w:szCs w:val="32"/>
        </w:rPr>
        <w:t>纳入财政预算管理的“三公“经费，是指用</w:t>
      </w:r>
      <w:r>
        <w:rPr>
          <w:rFonts w:hint="default" w:ascii="Times New Roman" w:hAnsi="Times New Roman"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b w:val="0"/>
          <w:bCs w:val="0"/>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0"/>
          <w:sz w:val="32"/>
          <w:szCs w:val="32"/>
          <w:shd w:val="clear" w:color="auto" w:fill="FFFFFF"/>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0"/>
          <w:sz w:val="32"/>
          <w:szCs w:val="32"/>
          <w:shd w:val="clear" w:color="auto" w:fill="FFFFFF"/>
        </w:rPr>
        <w:t>项目支出。指在基本支出之外为完成特定行政任务和事业发展目标所发生的支出。</w:t>
      </w:r>
    </w:p>
    <w:p>
      <w:pPr>
        <w:pStyle w:val="16"/>
        <w:spacing w:line="360" w:lineRule="auto"/>
        <w:ind w:firstLine="2080" w:firstLineChars="400"/>
        <w:jc w:val="both"/>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pPr>
        <w:pStyle w:val="16"/>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2024年度部门(单位)整体支出绩效自评报告。</w:t>
      </w:r>
    </w:p>
    <w:p>
      <w:pPr>
        <w:adjustRightInd w:val="0"/>
        <w:snapToGrid w:val="0"/>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一、部门概况</w:t>
      </w:r>
    </w:p>
    <w:p>
      <w:pPr>
        <w:ind w:firstLine="640" w:firstLineChars="200"/>
        <w:rPr>
          <w:rFonts w:hint="eastAsia" w:ascii="仿宋" w:hAnsi="仿宋" w:eastAsia="仿宋" w:cs="仿宋"/>
          <w:sz w:val="32"/>
          <w:szCs w:val="32"/>
          <w:lang w:val="en-US" w:eastAsia="zh-CN"/>
        </w:rPr>
      </w:pPr>
      <w:r>
        <w:rPr>
          <w:rFonts w:eastAsia="仿宋_GB2312"/>
          <w:sz w:val="32"/>
          <w:szCs w:val="32"/>
        </w:rPr>
        <w:t>（一）</w:t>
      </w:r>
      <w:r>
        <w:rPr>
          <w:rFonts w:hint="eastAsia" w:eastAsia="仿宋_GB2312"/>
          <w:b/>
          <w:bCs/>
          <w:sz w:val="32"/>
          <w:szCs w:val="32"/>
        </w:rPr>
        <w:t>部门</w:t>
      </w:r>
      <w:r>
        <w:rPr>
          <w:rFonts w:eastAsia="仿宋_GB2312"/>
          <w:b/>
          <w:bCs/>
          <w:sz w:val="32"/>
          <w:szCs w:val="32"/>
        </w:rPr>
        <w:t>基本情况</w:t>
      </w:r>
      <w:r>
        <w:rPr>
          <w:rFonts w:hint="eastAsia" w:eastAsia="仿宋_GB2312"/>
          <w:b/>
          <w:bCs/>
          <w:sz w:val="32"/>
          <w:szCs w:val="32"/>
        </w:rPr>
        <w:t>：</w:t>
      </w:r>
      <w:r>
        <w:rPr>
          <w:rFonts w:hint="eastAsia" w:ascii="仿宋" w:hAnsi="仿宋" w:eastAsia="仿宋" w:cs="仿宋"/>
          <w:sz w:val="32"/>
          <w:szCs w:val="32"/>
        </w:rPr>
        <w:t>全局编制人员共有</w:t>
      </w:r>
      <w:r>
        <w:rPr>
          <w:rFonts w:hint="eastAsia" w:ascii="仿宋" w:hAnsi="仿宋" w:eastAsia="仿宋" w:cs="仿宋"/>
          <w:sz w:val="32"/>
          <w:szCs w:val="32"/>
          <w:lang w:val="en-US" w:eastAsia="zh-CN"/>
        </w:rPr>
        <w:t>47</w:t>
      </w:r>
      <w:r>
        <w:rPr>
          <w:rFonts w:hint="eastAsia" w:ascii="仿宋" w:hAnsi="仿宋" w:eastAsia="仿宋" w:cs="仿宋"/>
          <w:sz w:val="32"/>
          <w:szCs w:val="32"/>
        </w:rPr>
        <w:t>人，其中：在编在职人员</w:t>
      </w:r>
      <w:r>
        <w:rPr>
          <w:rFonts w:hint="eastAsia" w:ascii="仿宋" w:hAnsi="仿宋" w:eastAsia="仿宋" w:cs="仿宋"/>
          <w:sz w:val="32"/>
          <w:szCs w:val="32"/>
          <w:lang w:val="en-US" w:eastAsia="zh-CN"/>
        </w:rPr>
        <w:t>47</w:t>
      </w:r>
      <w:r>
        <w:rPr>
          <w:rFonts w:hint="eastAsia" w:ascii="仿宋" w:hAnsi="仿宋" w:eastAsia="仿宋" w:cs="仿宋"/>
          <w:sz w:val="32"/>
          <w:szCs w:val="32"/>
        </w:rPr>
        <w:t>人</w:t>
      </w:r>
      <w:r>
        <w:rPr>
          <w:rFonts w:hint="eastAsia" w:ascii="仿宋" w:hAnsi="仿宋" w:eastAsia="仿宋" w:cs="仿宋"/>
          <w:sz w:val="32"/>
          <w:szCs w:val="32"/>
          <w:lang w:eastAsia="zh-CN"/>
        </w:rPr>
        <w:t>。</w:t>
      </w:r>
    </w:p>
    <w:p>
      <w:pPr>
        <w:ind w:firstLine="640" w:firstLineChars="200"/>
        <w:rPr>
          <w:rFonts w:hint="eastAsia" w:eastAsia="仿宋_GB2312"/>
          <w:b/>
          <w:bCs/>
          <w:sz w:val="32"/>
          <w:szCs w:val="32"/>
        </w:rPr>
      </w:pPr>
      <w:r>
        <w:rPr>
          <w:rFonts w:hint="eastAsia" w:eastAsia="仿宋_GB2312"/>
          <w:b/>
          <w:bCs/>
          <w:sz w:val="32"/>
          <w:szCs w:val="32"/>
        </w:rPr>
        <w:t>主要职能如下：</w:t>
      </w:r>
    </w:p>
    <w:p>
      <w:pPr>
        <w:pStyle w:val="11"/>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黑体" w:hAnsi="黑体" w:eastAsia="黑体" w:cs="黑体"/>
          <w:kern w:val="2"/>
          <w:sz w:val="32"/>
          <w:szCs w:val="32"/>
          <w:lang w:val="en-US" w:eastAsia="zh-CN" w:bidi="ar-SA"/>
        </w:rPr>
        <w:t>一、科技创新与发展</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科技宏观管理与资源配置：通过宏观管理和统筹协调，优化全县科技资源配置，确保科技资源的高效利用，同时组织实施科技重大专项，推动科技进步。</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科技计划与产学研结合：组织实施县级科技计划，促进农村和社会发展领域的科技进步，并协调产学研结合，加速科技成果的转化和应用。</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高新技术研发与产业化：主管高新技术的研究开发、成果转化及产业化工作，推动科技体制改革，加强创新体系建设，审核相关科研机构的组建和调整。</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科技合作与交流：拟定对外科技合作与交流的规划，管理科技经费，普及科技知识，负责科技人才、科技奖励和专利奖励的评审工作。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科技与金融结合：促进科技与金融的结合，建立科技金融服务机制，为科技创新提供金融支持，同时指导知识产权工作，管理地震工作。</w:t>
      </w:r>
    </w:p>
    <w:p>
      <w:pPr>
        <w:pStyle w:val="11"/>
        <w:keepNext w:val="0"/>
        <w:keepLines w:val="0"/>
        <w:widowControl/>
        <w:suppressLineNumbers w:val="0"/>
        <w:bidi w:val="0"/>
        <w:spacing w:before="0" w:beforeAutospacing="1" w:after="0" w:afterAutospacing="1"/>
        <w:ind w:right="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二、内外贸易与招商引资</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贸易与招商政策制定：贯彻落实国家、省内外贸易、招商引资等政策，制定相关规范性文件，推动全县内外贸易和招商引资工作。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流通产业结构调整：推进流通产业结构调整，指导流通企业改革，促进城乡市场发展，规划大宗产品批发市场和城市商业网点。</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市场经济秩序规范：牵头协调整顿和规范市场经济秩序，维护市场公平竞争。</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消费品市场调控：组织实施重要消费品市场调控，保障市场供应稳定。</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进出口管理与技术贸易：执行进出口商品和加工贸易管理政策，鼓励技术和成套设备进出口。</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服务贸易与对外合作：制定服务贸易发展规划，管理和监督对外承包工程、劳务合作，参与多边双边经贸合作。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对外援助与赠款管理：协调管理对外援助及多双边无偿援助和赠款，执行国家对外援助政策。</w:t>
      </w:r>
    </w:p>
    <w:p>
      <w:pPr>
        <w:pStyle w:val="11"/>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工业经济与信息化建设</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工业经济运行调节：负责全县工业经济的日常运行调节、编制、综合管理和组织协调，确保工业经济平稳运行。</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新型工业化战略：拟定新型工业化发展战略和规划，推动工业、信息化专项规划的实施。</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工业技术进步与改革：起草工业和信息化领域的规范性文件，推动工业企业技术进步，促进工业行业体制改革和管理创新。</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非公有制与中小企业发展：研究提出促进非公有制和中小企业发展的政策措施，参与能源节约和资源综合利用规划。</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信息化发展战略：组织拟定信息化发展战略，协调处理网络与信息安全的重大事件，促进网络共享和信息服务市场的发展。</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国防科技工业管理：负责国防科技工业的综合协调和管理，承担民用爆炸物品的行业管理工作。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人才开发与培训：组织工业、信息领域的人才开发与培训，贯彻执行相关行业规划和规范。</w:t>
      </w:r>
    </w:p>
    <w:p>
      <w:pPr>
        <w:pStyle w:val="11"/>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bookmarkStart w:id="3" w:name="_GoBack"/>
      <w:r>
        <w:rPr>
          <w:rFonts w:hint="eastAsia" w:ascii="仿宋" w:hAnsi="仿宋" w:eastAsia="仿宋" w:cs="仿宋"/>
          <w:b/>
          <w:bCs/>
          <w:sz w:val="36"/>
          <w:szCs w:val="36"/>
          <w:lang w:val="en-US" w:eastAsia="zh-CN"/>
        </w:rPr>
        <w:t>四、其他职责</w:t>
      </w:r>
      <w:bookmarkEnd w:id="3"/>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国有资产管理与行业管理：承担商业、物资、二轻工业等系统的国有资产管理和行业管理工作。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商会联络与招商服务：做好异地商会的联络和服务工作，承担招商小分队服务协调领导小组的日常工作。</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对外开放口岸管理：负责对外开放口岸的规划、申报、协调、联系，推动建立大通关机制。</w:t>
      </w:r>
    </w:p>
    <w:p>
      <w:pPr>
        <w:pStyle w:val="11"/>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下属机构管理：对下属机构提出意见，报机构编制部门明确。</w:t>
      </w:r>
    </w:p>
    <w:p>
      <w:pPr>
        <w:pStyle w:val="11"/>
        <w:keepNext w:val="0"/>
        <w:keepLines w:val="0"/>
        <w:widowControl/>
        <w:suppressLineNumbers w:val="0"/>
        <w:bidi w:val="0"/>
        <w:spacing w:before="0" w:beforeAutospacing="1" w:after="0" w:afterAutospacing="1"/>
        <w:ind w:left="0" w:right="0" w:firstLine="640" w:firstLineChars="200"/>
        <w:rPr>
          <w:rFonts w:ascii="仿宋" w:hAnsi="仿宋" w:eastAsia="仿宋" w:cs="仿宋"/>
          <w:bCs/>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承办县委县政府交办事项：完成县委、县政府交办的其他各项任务。</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（二）机构设置：</w:t>
      </w:r>
    </w:p>
    <w:p>
      <w:pPr>
        <w:rPr>
          <w:rFonts w:ascii="仿宋" w:hAnsi="仿宋" w:eastAsia="仿宋" w:cs="仿宋"/>
          <w:b/>
          <w:bCs/>
          <w:sz w:val="32"/>
          <w:szCs w:val="32"/>
        </w:rPr>
      </w:pPr>
      <w:r>
        <w:rPr>
          <w:rFonts w:hint="eastAsia" w:ascii="仿宋" w:hAnsi="仿宋" w:eastAsia="仿宋" w:cs="仿宋"/>
          <w:sz w:val="32"/>
          <w:szCs w:val="32"/>
        </w:rPr>
        <w:t>内设机构9个，包括：办公室、政工股、科技股、政策法规股（电力综合执法大队）、外经外贸股、商贸市场股、工业与信息化股、能源与军民融合推进股、外国专家理服务股</w:t>
      </w:r>
      <w:r>
        <w:rPr>
          <w:rFonts w:hint="eastAsia" w:ascii="仿宋" w:hAnsi="仿宋" w:eastAsia="仿宋" w:cs="仿宋"/>
          <w:sz w:val="32"/>
          <w:szCs w:val="32"/>
          <w:lang w:eastAsia="zh-CN"/>
        </w:rPr>
        <w:t>。</w:t>
      </w:r>
    </w:p>
    <w:p>
      <w:pPr>
        <w:numPr>
          <w:ilvl w:val="0"/>
          <w:numId w:val="3"/>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部门整体支出使用情况</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科工局部门整体</w:t>
      </w:r>
      <w:r>
        <w:rPr>
          <w:rFonts w:hint="eastAsia" w:ascii="仿宋" w:hAnsi="仿宋" w:eastAsia="仿宋" w:cs="仿宋"/>
          <w:sz w:val="32"/>
          <w:szCs w:val="32"/>
        </w:rPr>
        <w:t>支出</w:t>
      </w:r>
      <w:r>
        <w:rPr>
          <w:rFonts w:hint="eastAsia" w:ascii="仿宋_GB2312" w:hAnsi="仿宋_GB2312" w:eastAsia="仿宋_GB2312" w:cs="仿宋_GB2312"/>
          <w:sz w:val="32"/>
          <w:szCs w:val="32"/>
          <w:lang w:val="en-US" w:eastAsia="zh-CN"/>
        </w:rPr>
        <w:t>3525</w:t>
      </w:r>
      <w:r>
        <w:rPr>
          <w:rFonts w:hint="eastAsia" w:ascii="仿宋" w:hAnsi="仿宋" w:eastAsia="仿宋" w:cs="仿宋"/>
          <w:sz w:val="32"/>
          <w:szCs w:val="32"/>
        </w:rPr>
        <w:t>万元。</w:t>
      </w:r>
    </w:p>
    <w:p>
      <w:pPr>
        <w:adjustRightInd w:val="0"/>
        <w:snapToGrid w:val="0"/>
        <w:spacing w:line="600" w:lineRule="exact"/>
        <w:ind w:firstLine="640" w:firstLineChars="200"/>
        <w:rPr>
          <w:rFonts w:ascii="楷体_GB2312" w:eastAsia="楷体_GB2312"/>
          <w:b/>
          <w:sz w:val="32"/>
          <w:szCs w:val="32"/>
        </w:rPr>
      </w:pPr>
      <w:r>
        <w:rPr>
          <w:rFonts w:hint="eastAsia" w:ascii="仿宋" w:hAnsi="仿宋" w:eastAsia="仿宋" w:cs="仿宋"/>
          <w:bCs/>
          <w:sz w:val="32"/>
          <w:szCs w:val="32"/>
        </w:rPr>
        <w:t>（一）基本支出</w:t>
      </w:r>
    </w:p>
    <w:p>
      <w:pPr>
        <w:ind w:firstLine="640" w:firstLineChars="200"/>
        <w:rPr>
          <w:rFonts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670</w:t>
      </w:r>
      <w:r>
        <w:rPr>
          <w:rFonts w:hint="eastAsia" w:ascii="仿宋" w:hAnsi="仿宋" w:eastAsia="仿宋" w:cs="仿宋"/>
          <w:sz w:val="32"/>
          <w:szCs w:val="32"/>
        </w:rPr>
        <w:t>万元。其中：①工资福利支出</w:t>
      </w:r>
      <w:r>
        <w:rPr>
          <w:rFonts w:hint="eastAsia" w:ascii="仿宋" w:hAnsi="仿宋" w:eastAsia="仿宋" w:cs="仿宋"/>
          <w:sz w:val="32"/>
          <w:szCs w:val="32"/>
          <w:lang w:val="en-US" w:eastAsia="zh-CN"/>
        </w:rPr>
        <w:t>557</w:t>
      </w:r>
      <w:r>
        <w:rPr>
          <w:rFonts w:hint="eastAsia" w:ascii="仿宋" w:hAnsi="仿宋" w:eastAsia="仿宋" w:cs="仿宋"/>
          <w:sz w:val="32"/>
          <w:szCs w:val="32"/>
        </w:rPr>
        <w:t>万元(基本工资</w:t>
      </w:r>
      <w:r>
        <w:rPr>
          <w:rFonts w:hint="eastAsia" w:ascii="仿宋" w:hAnsi="仿宋" w:eastAsia="仿宋" w:cs="仿宋"/>
          <w:sz w:val="32"/>
          <w:szCs w:val="32"/>
          <w:lang w:val="en-US" w:eastAsia="zh-CN"/>
        </w:rPr>
        <w:t>113</w:t>
      </w:r>
      <w:r>
        <w:rPr>
          <w:rFonts w:hint="eastAsia" w:ascii="仿宋" w:hAnsi="仿宋" w:eastAsia="仿宋" w:cs="仿宋"/>
          <w:sz w:val="32"/>
          <w:szCs w:val="32"/>
        </w:rPr>
        <w:t>万元，津补贴</w:t>
      </w:r>
      <w:r>
        <w:rPr>
          <w:rFonts w:hint="eastAsia" w:ascii="仿宋" w:hAnsi="仿宋" w:eastAsia="仿宋" w:cs="仿宋"/>
          <w:sz w:val="32"/>
          <w:szCs w:val="32"/>
          <w:lang w:val="en-US" w:eastAsia="zh-CN"/>
        </w:rPr>
        <w:t>116</w:t>
      </w:r>
      <w:r>
        <w:rPr>
          <w:rFonts w:hint="eastAsia" w:ascii="仿宋" w:hAnsi="仿宋" w:eastAsia="仿宋" w:cs="仿宋"/>
          <w:sz w:val="32"/>
          <w:szCs w:val="32"/>
        </w:rPr>
        <w:t>万元，奖金</w:t>
      </w:r>
      <w:r>
        <w:rPr>
          <w:rFonts w:hint="eastAsia" w:ascii="仿宋" w:hAnsi="仿宋" w:eastAsia="仿宋" w:cs="仿宋"/>
          <w:sz w:val="32"/>
          <w:szCs w:val="32"/>
          <w:lang w:val="en-US" w:eastAsia="zh-CN"/>
        </w:rPr>
        <w:t>175</w:t>
      </w:r>
      <w:r>
        <w:rPr>
          <w:rFonts w:hint="eastAsia" w:ascii="仿宋" w:hAnsi="仿宋" w:eastAsia="仿宋" w:cs="仿宋"/>
          <w:sz w:val="32"/>
          <w:szCs w:val="32"/>
        </w:rPr>
        <w:t>万元，伙食费</w:t>
      </w:r>
      <w:r>
        <w:rPr>
          <w:rFonts w:hint="eastAsia" w:ascii="仿宋" w:hAnsi="仿宋" w:eastAsia="仿宋" w:cs="仿宋"/>
          <w:sz w:val="32"/>
          <w:szCs w:val="32"/>
          <w:lang w:val="en-US" w:eastAsia="zh-CN"/>
        </w:rPr>
        <w:t>1</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65</w:t>
      </w:r>
      <w:r>
        <w:rPr>
          <w:rFonts w:hint="eastAsia" w:ascii="仿宋" w:hAnsi="仿宋" w:eastAsia="仿宋" w:cs="仿宋"/>
          <w:sz w:val="32"/>
          <w:szCs w:val="32"/>
        </w:rPr>
        <w:t>万元，机关事业养老保险</w:t>
      </w:r>
      <w:r>
        <w:rPr>
          <w:rFonts w:hint="eastAsia" w:ascii="仿宋" w:hAnsi="仿宋" w:eastAsia="仿宋" w:cs="仿宋"/>
          <w:sz w:val="32"/>
          <w:szCs w:val="32"/>
          <w:lang w:val="en-US" w:eastAsia="zh-CN"/>
        </w:rPr>
        <w:t>57</w:t>
      </w:r>
      <w:r>
        <w:rPr>
          <w:rFonts w:hint="eastAsia" w:ascii="仿宋" w:hAnsi="仿宋" w:eastAsia="仿宋" w:cs="仿宋"/>
          <w:sz w:val="32"/>
          <w:szCs w:val="32"/>
        </w:rPr>
        <w:t>万元，职业年金</w:t>
      </w:r>
      <w:r>
        <w:rPr>
          <w:rFonts w:hint="eastAsia" w:ascii="仿宋" w:hAnsi="仿宋" w:eastAsia="仿宋" w:cs="仿宋"/>
          <w:sz w:val="32"/>
          <w:szCs w:val="32"/>
          <w:lang w:val="en-US" w:eastAsia="zh-CN"/>
        </w:rPr>
        <w:t>1</w:t>
      </w:r>
      <w:r>
        <w:rPr>
          <w:rFonts w:hint="eastAsia" w:ascii="仿宋" w:hAnsi="仿宋" w:eastAsia="仿宋" w:cs="仿宋"/>
          <w:sz w:val="32"/>
          <w:szCs w:val="32"/>
        </w:rPr>
        <w:t>万元，医疗保险</w:t>
      </w:r>
      <w:r>
        <w:rPr>
          <w:rFonts w:hint="eastAsia" w:ascii="仿宋" w:hAnsi="仿宋" w:eastAsia="仿宋" w:cs="仿宋"/>
          <w:sz w:val="32"/>
          <w:szCs w:val="32"/>
          <w:lang w:val="en-US" w:eastAsia="zh-CN"/>
        </w:rPr>
        <w:t>24</w:t>
      </w:r>
      <w:r>
        <w:rPr>
          <w:rFonts w:hint="eastAsia" w:ascii="仿宋" w:hAnsi="仿宋" w:eastAsia="仿宋" w:cs="仿宋"/>
          <w:sz w:val="32"/>
          <w:szCs w:val="32"/>
        </w:rPr>
        <w:t>万元，其他</w:t>
      </w:r>
      <w:r>
        <w:rPr>
          <w:rFonts w:hint="eastAsia" w:ascii="仿宋" w:hAnsi="仿宋" w:eastAsia="仿宋" w:cs="仿宋"/>
          <w:sz w:val="32"/>
          <w:szCs w:val="32"/>
          <w:lang w:eastAsia="zh-CN"/>
        </w:rPr>
        <w:t>社会保障缴费</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eastAsia="zh-CN"/>
        </w:rPr>
        <w:t>，其他工资福利支出</w:t>
      </w:r>
      <w:r>
        <w:rPr>
          <w:rFonts w:hint="eastAsia" w:ascii="仿宋" w:hAnsi="仿宋" w:eastAsia="仿宋" w:cs="仿宋"/>
          <w:sz w:val="32"/>
          <w:szCs w:val="32"/>
          <w:lang w:val="en-US" w:eastAsia="zh-CN"/>
        </w:rPr>
        <w:t>3万元</w:t>
      </w:r>
      <w:r>
        <w:rPr>
          <w:rFonts w:hint="eastAsia" w:ascii="仿宋" w:hAnsi="仿宋" w:eastAsia="仿宋" w:cs="仿宋"/>
          <w:sz w:val="32"/>
          <w:szCs w:val="32"/>
        </w:rPr>
        <w:t>；②公用支出</w:t>
      </w:r>
      <w:r>
        <w:rPr>
          <w:rFonts w:hint="eastAsia" w:ascii="仿宋" w:hAnsi="仿宋" w:eastAsia="仿宋" w:cs="仿宋"/>
          <w:sz w:val="32"/>
          <w:szCs w:val="32"/>
          <w:lang w:val="en-US" w:eastAsia="zh-CN"/>
        </w:rPr>
        <w:t>63</w:t>
      </w:r>
      <w:r>
        <w:rPr>
          <w:rFonts w:hint="eastAsia" w:ascii="仿宋" w:hAnsi="仿宋" w:eastAsia="仿宋" w:cs="仿宋"/>
          <w:sz w:val="32"/>
          <w:szCs w:val="32"/>
        </w:rPr>
        <w:t>万元（办公费</w:t>
      </w:r>
      <w:r>
        <w:rPr>
          <w:rFonts w:hint="eastAsia" w:ascii="仿宋" w:hAnsi="仿宋" w:eastAsia="仿宋" w:cs="仿宋"/>
          <w:sz w:val="32"/>
          <w:szCs w:val="32"/>
          <w:lang w:val="en-US" w:eastAsia="zh-CN"/>
        </w:rPr>
        <w:t>30</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11</w:t>
      </w:r>
      <w:r>
        <w:rPr>
          <w:rFonts w:hint="eastAsia" w:ascii="仿宋" w:hAnsi="仿宋" w:eastAsia="仿宋" w:cs="仿宋"/>
          <w:sz w:val="32"/>
          <w:szCs w:val="32"/>
        </w:rPr>
        <w:t>万元，其他交通费</w:t>
      </w:r>
      <w:r>
        <w:rPr>
          <w:rFonts w:hint="eastAsia" w:ascii="仿宋" w:hAnsi="仿宋" w:eastAsia="仿宋" w:cs="仿宋"/>
          <w:sz w:val="32"/>
          <w:szCs w:val="32"/>
          <w:lang w:val="en-US" w:eastAsia="zh-CN"/>
        </w:rPr>
        <w:t>17</w:t>
      </w:r>
      <w:r>
        <w:rPr>
          <w:rFonts w:hint="eastAsia" w:ascii="仿宋" w:hAnsi="仿宋" w:eastAsia="仿宋" w:cs="仿宋"/>
          <w:sz w:val="32"/>
          <w:szCs w:val="32"/>
        </w:rPr>
        <w:t>万元，其他商品服务支出</w:t>
      </w:r>
      <w:r>
        <w:rPr>
          <w:rFonts w:hint="eastAsia" w:ascii="仿宋" w:hAnsi="仿宋" w:eastAsia="仿宋" w:cs="仿宋"/>
          <w:sz w:val="32"/>
          <w:szCs w:val="32"/>
          <w:lang w:val="en-US" w:eastAsia="zh-CN"/>
        </w:rPr>
        <w:t>5</w:t>
      </w:r>
      <w:r>
        <w:rPr>
          <w:rFonts w:hint="eastAsia" w:ascii="仿宋" w:hAnsi="仿宋" w:eastAsia="仿宋" w:cs="仿宋"/>
          <w:sz w:val="32"/>
          <w:szCs w:val="32"/>
        </w:rPr>
        <w:t>万元）；③对个人家庭补助</w:t>
      </w:r>
      <w:r>
        <w:rPr>
          <w:rFonts w:hint="eastAsia" w:ascii="仿宋" w:hAnsi="仿宋" w:eastAsia="仿宋" w:cs="仿宋"/>
          <w:sz w:val="32"/>
          <w:szCs w:val="32"/>
          <w:lang w:val="en-US" w:eastAsia="zh-CN"/>
        </w:rPr>
        <w:t>113</w:t>
      </w:r>
      <w:r>
        <w:rPr>
          <w:rFonts w:hint="eastAsia" w:ascii="仿宋" w:hAnsi="仿宋" w:eastAsia="仿宋" w:cs="仿宋"/>
          <w:sz w:val="32"/>
          <w:szCs w:val="32"/>
        </w:rPr>
        <w:t>万元（抚恤金</w:t>
      </w:r>
      <w:r>
        <w:rPr>
          <w:rFonts w:hint="eastAsia" w:ascii="仿宋" w:hAnsi="仿宋" w:eastAsia="仿宋" w:cs="仿宋"/>
          <w:sz w:val="32"/>
          <w:szCs w:val="32"/>
          <w:lang w:val="en-US" w:eastAsia="zh-CN"/>
        </w:rPr>
        <w:t>96</w:t>
      </w:r>
      <w:r>
        <w:rPr>
          <w:rFonts w:hint="eastAsia" w:ascii="仿宋" w:hAnsi="仿宋" w:eastAsia="仿宋" w:cs="仿宋"/>
          <w:sz w:val="32"/>
          <w:szCs w:val="32"/>
        </w:rPr>
        <w:t>万元，</w:t>
      </w:r>
      <w:r>
        <w:rPr>
          <w:rFonts w:hint="eastAsia" w:ascii="仿宋" w:hAnsi="仿宋" w:eastAsia="仿宋" w:cs="仿宋"/>
          <w:sz w:val="32"/>
          <w:szCs w:val="32"/>
          <w:lang w:val="en-US" w:eastAsia="zh-CN"/>
        </w:rPr>
        <w:t>生活补助14万元，</w:t>
      </w:r>
      <w:r>
        <w:rPr>
          <w:rFonts w:hint="eastAsia" w:ascii="仿宋" w:hAnsi="仿宋" w:eastAsia="仿宋" w:cs="仿宋"/>
          <w:color w:val="000000"/>
          <w:kern w:val="0"/>
          <w:sz w:val="32"/>
          <w:szCs w:val="32"/>
        </w:rPr>
        <w:t>对其他个人和家庭的补助支出</w:t>
      </w:r>
      <w:r>
        <w:rPr>
          <w:rFonts w:hint="eastAsia" w:ascii="仿宋" w:hAnsi="仿宋" w:eastAsia="仿宋" w:cs="仿宋"/>
          <w:color w:val="000000"/>
          <w:kern w:val="0"/>
          <w:sz w:val="32"/>
          <w:szCs w:val="32"/>
          <w:lang w:val="en-US" w:eastAsia="zh-CN"/>
        </w:rPr>
        <w:t>3万元</w:t>
      </w:r>
      <w:r>
        <w:rPr>
          <w:rFonts w:hint="eastAsia" w:ascii="仿宋" w:hAnsi="仿宋" w:eastAsia="仿宋" w:cs="仿宋"/>
          <w:sz w:val="32"/>
          <w:szCs w:val="32"/>
        </w:rPr>
        <w:t>）。</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专项资金支出专项资金支出</w:t>
      </w:r>
      <w:r>
        <w:rPr>
          <w:rFonts w:hint="eastAsia" w:ascii="仿宋" w:hAnsi="仿宋" w:eastAsia="仿宋" w:cs="仿宋"/>
          <w:sz w:val="32"/>
          <w:szCs w:val="32"/>
          <w:lang w:val="en-US" w:eastAsia="zh-CN"/>
        </w:rPr>
        <w:t>2792</w:t>
      </w:r>
      <w:r>
        <w:rPr>
          <w:rFonts w:hint="eastAsia" w:ascii="仿宋" w:hAnsi="仿宋" w:eastAsia="仿宋" w:cs="仿宋"/>
          <w:sz w:val="32"/>
          <w:szCs w:val="32"/>
        </w:rPr>
        <w:t>万元(其中：</w:t>
      </w:r>
      <w:r>
        <w:rPr>
          <w:rFonts w:hint="eastAsia" w:ascii="仿宋" w:hAnsi="仿宋" w:eastAsia="仿宋" w:cs="仿宋"/>
          <w:sz w:val="32"/>
          <w:szCs w:val="32"/>
          <w:lang w:val="en-US" w:eastAsia="zh-CN"/>
        </w:rPr>
        <w:t>机关服务1066万元，招商引资支出126万元，行政运行其他科学技术支出48万元，制造支出963万元，支持中小企业发展和管理支出303万元，商业流通事务支出156万元，涉外发展服务支出130万元</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三公经费使用情况：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年预算安排</w:t>
      </w:r>
      <w:r>
        <w:rPr>
          <w:rFonts w:hint="eastAsia" w:ascii="仿宋" w:hAnsi="仿宋" w:eastAsia="仿宋" w:cs="仿宋"/>
          <w:sz w:val="32"/>
          <w:szCs w:val="32"/>
          <w:lang w:val="en-US" w:eastAsia="zh-CN"/>
        </w:rPr>
        <w:t>102</w:t>
      </w:r>
      <w:r>
        <w:rPr>
          <w:rFonts w:hint="eastAsia" w:ascii="仿宋" w:hAnsi="仿宋" w:eastAsia="仿宋" w:cs="仿宋"/>
          <w:sz w:val="32"/>
          <w:szCs w:val="32"/>
        </w:rPr>
        <w:t>万元，年末公务接待支出</w:t>
      </w:r>
      <w:r>
        <w:rPr>
          <w:rFonts w:hint="eastAsia" w:ascii="仿宋" w:hAnsi="仿宋" w:eastAsia="仿宋" w:cs="仿宋"/>
          <w:sz w:val="32"/>
          <w:szCs w:val="32"/>
          <w:lang w:val="en-US" w:eastAsia="zh-CN"/>
        </w:rPr>
        <w:t>88</w:t>
      </w:r>
      <w:r>
        <w:rPr>
          <w:rFonts w:hint="eastAsia" w:ascii="仿宋" w:hAnsi="仿宋" w:eastAsia="仿宋" w:cs="仿宋"/>
          <w:sz w:val="32"/>
          <w:szCs w:val="32"/>
        </w:rPr>
        <w:t>万元。</w:t>
      </w:r>
    </w:p>
    <w:p>
      <w:pPr>
        <w:pStyle w:val="4"/>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一般公共预算财政拨款决算执行情况：</w:t>
      </w:r>
    </w:p>
    <w:p>
      <w:pPr>
        <w:pStyle w:val="4"/>
        <w:rPr>
          <w:rFonts w:hint="default"/>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科工局一般公共预算财政拨款支出3525万元，其中基本支出733万元，项目支出2792万元.</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三、部门整体支出管理情况</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科工局</w:t>
      </w:r>
      <w:r>
        <w:rPr>
          <w:rFonts w:hint="eastAsia" w:ascii="仿宋" w:hAnsi="仿宋" w:eastAsia="仿宋" w:cs="仿宋"/>
          <w:sz w:val="32"/>
          <w:szCs w:val="32"/>
        </w:rPr>
        <w:t>财务管理严格依法依规，做到公开公平公正，严格执行各项有关法律法规、财经纪律、财务规章制度。</w:t>
      </w:r>
    </w:p>
    <w:p>
      <w:pPr>
        <w:numPr>
          <w:ilvl w:val="0"/>
          <w:numId w:val="5"/>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部门整体支出绩效情况</w:t>
      </w:r>
    </w:p>
    <w:p>
      <w:pPr>
        <w:keepNext w:val="0"/>
        <w:keepLines w:val="0"/>
        <w:pageBreakBefore w:val="0"/>
        <w:widowControl w:val="0"/>
        <w:kinsoku/>
        <w:overflowPunct/>
        <w:autoSpaceDE/>
        <w:autoSpaceDN/>
        <w:bidi w:val="0"/>
        <w:adjustRightInd/>
        <w:snapToGrid/>
        <w:spacing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
        </w:rPr>
        <w:t>1、1-11月完成</w:t>
      </w:r>
      <w:r>
        <w:rPr>
          <w:rFonts w:hint="eastAsia" w:ascii="仿宋_GB2312" w:hAnsi="仿宋_GB2312" w:eastAsia="仿宋_GB2312" w:cs="仿宋_GB2312"/>
          <w:b w:val="0"/>
          <w:bCs w:val="0"/>
          <w:sz w:val="32"/>
          <w:szCs w:val="32"/>
          <w:lang w:val="en-US" w:eastAsia="zh-CN"/>
        </w:rPr>
        <w:t>知识价值信用贷款完成率排全市第1位；</w:t>
      </w:r>
      <w:r>
        <w:rPr>
          <w:rFonts w:hint="eastAsia" w:ascii="仿宋_GB2312" w:hAnsi="仿宋_GB2312" w:eastAsia="仿宋_GB2312" w:cs="仿宋_GB2312"/>
          <w:color w:val="auto"/>
          <w:kern w:val="2"/>
          <w:sz w:val="32"/>
          <w:szCs w:val="32"/>
          <w:lang w:val="en-US" w:eastAsia="zh-CN" w:bidi="ar-SA"/>
        </w:rPr>
        <w:t>方财政科技支出占比5.67%，排全市第2位；科技型企业知识价值信用贷款完成率排名全市第1位。</w:t>
      </w:r>
    </w:p>
    <w:p>
      <w:pPr>
        <w:keepNext w:val="0"/>
        <w:keepLines w:val="0"/>
        <w:pageBreakBefore w:val="0"/>
        <w:widowControl w:val="0"/>
        <w:kinsoku/>
        <w:overflowPunct/>
        <w:autoSpaceDE/>
        <w:autoSpaceDN/>
        <w:bidi w:val="0"/>
        <w:adjustRightInd/>
        <w:snapToGrid/>
        <w:spacing w:line="600" w:lineRule="exact"/>
        <w:ind w:lef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b w:val="0"/>
          <w:bCs w:val="0"/>
          <w:color w:val="auto"/>
          <w:sz w:val="32"/>
          <w:szCs w:val="32"/>
          <w:lang w:val="en-US" w:eastAsia="zh-CN"/>
        </w:rPr>
        <w:t>完成科技型中小企业评价入库共114家，申报高新技术企业13家、认定8家，技术合同成交额20.22亿元。申报科技研发项目10项。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1-11月，累计实现工业总产值179.6亿元，同比增长8.14%。规模工业增加值增速8.4%，排名全市第6位；工业企业实缴税金4.32亿元，同比增长7.46%，排名全市第3位；工业固定资产投资累计增速41.1%，排名全市第1位；工业技改投资增速117.3%，排名全市第2位；新增规模工业企业9家，全县规模工业企业数量达到96家。</w:t>
      </w:r>
      <w:r>
        <w:rPr>
          <w:rFonts w:hint="eastAsia" w:ascii="仿宋_GB2312" w:hAnsi="仿宋_GB2312" w:eastAsia="仿宋_GB2312" w:cs="仿宋_GB2312"/>
          <w:color w:val="auto"/>
          <w:kern w:val="2"/>
          <w:sz w:val="32"/>
          <w:szCs w:val="32"/>
          <w:lang w:val="en-US" w:eastAsia="zh-CN" w:bidi="ar-SA"/>
        </w:rPr>
        <w:t>湘威公司企业管理智能化项目被省工信厅评定为2024年“智赋万企”湖南省制造业数字化转型标杆项目。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t>3、</w:t>
      </w:r>
      <w:r>
        <w:rPr>
          <w:rFonts w:hint="eastAsia" w:ascii="仿宋_GB2312" w:hAnsi="仿宋_GB2312" w:eastAsia="仿宋_GB2312" w:cs="仿宋_GB2312"/>
          <w:b w:val="0"/>
          <w:bCs w:val="0"/>
          <w:color w:val="auto"/>
          <w:kern w:val="2"/>
          <w:sz w:val="32"/>
          <w:szCs w:val="32"/>
          <w:lang w:val="en-US" w:eastAsia="zh-CN" w:bidi="ar-SA"/>
        </w:rPr>
        <w:t>新注册</w:t>
      </w:r>
      <w:r>
        <w:rPr>
          <w:rFonts w:hint="eastAsia" w:ascii="仿宋_GB2312" w:hAnsi="仿宋_GB2312" w:eastAsia="仿宋_GB2312" w:cs="仿宋_GB2312"/>
          <w:b w:val="0"/>
          <w:bCs w:val="0"/>
          <w:sz w:val="32"/>
          <w:szCs w:val="32"/>
          <w:lang w:val="en-US" w:eastAsia="zh-CN"/>
        </w:rPr>
        <w:t>湘商回归</w:t>
      </w:r>
      <w:r>
        <w:rPr>
          <w:rFonts w:hint="eastAsia" w:ascii="仿宋_GB2312" w:hAnsi="仿宋_GB2312" w:eastAsia="仿宋_GB2312" w:cs="仿宋_GB2312"/>
          <w:b w:val="0"/>
          <w:bCs w:val="0"/>
          <w:color w:val="auto"/>
          <w:kern w:val="2"/>
          <w:sz w:val="32"/>
          <w:szCs w:val="32"/>
          <w:lang w:val="en-US" w:eastAsia="zh-CN" w:bidi="ar-SA"/>
        </w:rPr>
        <w:t>企业16个，全年到位资金48.86亿元，完成年度任务122.2%。</w:t>
      </w:r>
      <w:r>
        <w:rPr>
          <w:rFonts w:hint="eastAsia" w:ascii="仿宋_GB2312" w:hAnsi="仿宋_GB2312" w:eastAsia="仿宋_GB2312" w:cs="仿宋_GB2312"/>
          <w:b w:val="0"/>
          <w:bCs w:val="0"/>
          <w:color w:val="auto"/>
          <w:sz w:val="32"/>
          <w:szCs w:val="32"/>
          <w:highlight w:val="none"/>
        </w:rPr>
        <w:t>共引进重大项目</w:t>
      </w:r>
      <w:r>
        <w:rPr>
          <w:rFonts w:hint="eastAsia" w:ascii="仿宋_GB2312" w:hAnsi="仿宋_GB2312" w:eastAsia="仿宋_GB2312" w:cs="仿宋_GB2312"/>
          <w:b w:val="0"/>
          <w:bCs w:val="0"/>
          <w:color w:val="auto"/>
          <w:sz w:val="32"/>
          <w:szCs w:val="32"/>
          <w:highlight w:val="none"/>
          <w:lang w:val="en-US" w:eastAsia="zh-CN"/>
        </w:rPr>
        <w:t>56</w:t>
      </w:r>
      <w:r>
        <w:rPr>
          <w:rFonts w:hint="eastAsia" w:ascii="仿宋_GB2312" w:hAnsi="仿宋_GB2312" w:eastAsia="仿宋_GB2312" w:cs="仿宋_GB2312"/>
          <w:b w:val="0"/>
          <w:bCs w:val="0"/>
          <w:color w:val="auto"/>
          <w:sz w:val="32"/>
          <w:szCs w:val="32"/>
          <w:highlight w:val="none"/>
        </w:rPr>
        <w:t>个，完成全年任务的</w:t>
      </w:r>
      <w:r>
        <w:rPr>
          <w:rFonts w:hint="eastAsia" w:ascii="仿宋_GB2312" w:hAnsi="仿宋_GB2312" w:eastAsia="仿宋_GB2312" w:cs="仿宋_GB2312"/>
          <w:b w:val="0"/>
          <w:bCs w:val="0"/>
          <w:color w:val="auto"/>
          <w:sz w:val="32"/>
          <w:szCs w:val="32"/>
          <w:highlight w:val="none"/>
          <w:lang w:val="en-US" w:eastAsia="zh-CN"/>
        </w:rPr>
        <w:t>97</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其中，投资5000万元以上的项目</w:t>
      </w:r>
      <w:r>
        <w:rPr>
          <w:rFonts w:hint="eastAsia" w:ascii="仿宋_GB2312" w:hAnsi="仿宋_GB2312" w:eastAsia="仿宋_GB2312" w:cs="仿宋_GB2312"/>
          <w:b w:val="0"/>
          <w:bCs w:val="0"/>
          <w:color w:val="auto"/>
          <w:sz w:val="32"/>
          <w:szCs w:val="32"/>
          <w:highlight w:val="none"/>
          <w:lang w:val="en-US" w:eastAsia="zh-CN"/>
        </w:rPr>
        <w:t>41</w:t>
      </w:r>
      <w:r>
        <w:rPr>
          <w:rFonts w:hint="eastAsia" w:ascii="仿宋_GB2312" w:hAnsi="仿宋_GB2312" w:eastAsia="仿宋_GB2312" w:cs="仿宋_GB2312"/>
          <w:b w:val="0"/>
          <w:bCs w:val="0"/>
          <w:color w:val="auto"/>
          <w:sz w:val="32"/>
          <w:szCs w:val="32"/>
          <w:highlight w:val="none"/>
        </w:rPr>
        <w:t>个，1</w:t>
      </w:r>
      <w:r>
        <w:rPr>
          <w:rFonts w:hint="eastAsia" w:ascii="仿宋_GB2312" w:hAnsi="仿宋_GB2312" w:eastAsia="仿宋_GB2312" w:cs="仿宋_GB2312"/>
          <w:b w:val="0"/>
          <w:bCs w:val="0"/>
          <w:color w:val="auto"/>
          <w:sz w:val="32"/>
          <w:szCs w:val="32"/>
        </w:rPr>
        <w:t>0亿元以上项目</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引进“三类”500强企业项目3个(能源类项目)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外资项目1个，外贸项目</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个。</w:t>
      </w:r>
    </w:p>
    <w:p>
      <w:pPr>
        <w:keepNext w:val="0"/>
        <w:keepLines w:val="0"/>
        <w:pageBreakBefore w:val="0"/>
        <w:widowControl w:val="0"/>
        <w:kinsoku/>
        <w:overflowPunct/>
        <w:autoSpaceDE/>
        <w:autoSpaceDN/>
        <w:bidi w:val="0"/>
        <w:adjustRightInd/>
        <w:snapToGrid/>
        <w:spacing w:line="600" w:lineRule="exact"/>
        <w:ind w:left="0" w:firstLine="640" w:firstLineChars="200"/>
        <w:jc w:val="both"/>
        <w:rPr>
          <w:rFonts w:hint="eastAsia" w:ascii="仿宋" w:hAnsi="仿宋" w:eastAsia="仿宋" w:cs="仿宋"/>
          <w:kern w:val="0"/>
          <w:sz w:val="32"/>
          <w:szCs w:val="32"/>
          <w:lang w:bidi="ar"/>
        </w:rPr>
      </w:pPr>
      <w:r>
        <w:rPr>
          <w:rFonts w:hint="eastAsia" w:ascii="仿宋" w:hAnsi="仿宋" w:eastAsia="仿宋" w:cs="仿宋"/>
          <w:sz w:val="32"/>
          <w:szCs w:val="32"/>
        </w:rPr>
        <w:t>4、</w:t>
      </w:r>
      <w:r>
        <w:rPr>
          <w:rFonts w:hint="eastAsia" w:ascii="仿宋_GB2312" w:hAnsi="仿宋_GB2312" w:eastAsia="仿宋_GB2312" w:cs="仿宋_GB2312"/>
          <w:b w:val="0"/>
          <w:bCs w:val="0"/>
          <w:sz w:val="32"/>
          <w:szCs w:val="32"/>
          <w:lang w:val="en-US" w:eastAsia="zh-CN"/>
        </w:rPr>
        <w:t>完成社会消费品零售总额44.99亿元，增速6.2%；新增限上商贸流通企业任务13家，超额完成任务。</w:t>
      </w:r>
      <w:r>
        <w:rPr>
          <w:rFonts w:hint="eastAsia" w:ascii="仿宋_GB2312" w:hAnsi="仿宋_GB2312" w:eastAsia="仿宋_GB2312" w:cs="仿宋_GB2312"/>
          <w:b w:val="0"/>
          <w:bCs w:val="0"/>
          <w:color w:val="000000"/>
          <w:kern w:val="0"/>
          <w:sz w:val="32"/>
          <w:szCs w:val="32"/>
          <w:lang w:val="en-US" w:eastAsia="zh-CN" w:bidi="ar"/>
        </w:rPr>
        <w:t>共举办各类促消费活动15场，拉动餐饮、零售行业营收超5.3亿元。争取</w:t>
      </w:r>
      <w:r>
        <w:rPr>
          <w:rFonts w:hint="eastAsia" w:ascii="仿宋_GB2312" w:hAnsi="仿宋_GB2312" w:eastAsia="仿宋_GB2312" w:cs="仿宋_GB2312"/>
          <w:b w:val="0"/>
          <w:bCs w:val="0"/>
          <w:kern w:val="2"/>
          <w:sz w:val="32"/>
          <w:szCs w:val="32"/>
          <w:lang w:val="en-US" w:eastAsia="zh-CN" w:bidi="ar-SA"/>
        </w:rPr>
        <w:t>工业领域技术改造和设备更新专项再贷款项目3个（太平湘发、华鑫贸易、鑫旺竹业）；第二批申报</w:t>
      </w:r>
      <w:r>
        <w:rPr>
          <w:rFonts w:hint="eastAsia" w:ascii="仿宋_GB2312" w:hAnsi="仿宋_GB2312" w:eastAsia="仿宋_GB2312" w:cs="仿宋_GB2312"/>
          <w:b w:val="0"/>
          <w:bCs w:val="0"/>
          <w:color w:val="auto"/>
          <w:sz w:val="32"/>
          <w:szCs w:val="32"/>
          <w:highlight w:val="none"/>
          <w:lang w:val="en-US" w:eastAsia="zh-CN" w:bidi="ar-SA"/>
        </w:rPr>
        <w:t>企业6家，累计贷款需求1.2亿元。</w:t>
      </w:r>
      <w:r>
        <w:rPr>
          <w:rFonts w:hint="eastAsia" w:ascii="仿宋_GB2312" w:hAnsi="仿宋_GB2312" w:eastAsia="仿宋_GB2312" w:cs="仿宋_GB2312"/>
          <w:b w:val="0"/>
          <w:bCs w:val="0"/>
          <w:color w:val="000000"/>
          <w:kern w:val="0"/>
          <w:sz w:val="32"/>
          <w:szCs w:val="32"/>
          <w:lang w:val="en-US" w:eastAsia="zh-CN" w:bidi="ar"/>
        </w:rPr>
        <w:t>组织17家企业参与全省家电以旧换新活动，组织35家企业参与全省家装厨卫“焕新”活动，组织3家企业参与全省电动自行车以旧换新活动。利它再生资源有限公司获批报废机动车回收拆解企业资质认定证书，系蓝山首家，已拆解本地报废机动车1100余台。</w:t>
      </w:r>
    </w:p>
    <w:p>
      <w:pPr>
        <w:adjustRightInd w:val="0"/>
        <w:snapToGrid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五、结合《部门整体支出绩效评价指标表》（见附件）的评价结果</w:t>
      </w:r>
      <w:r>
        <w:rPr>
          <w:rFonts w:hint="eastAsia" w:ascii="黑体" w:hAnsi="黑体" w:eastAsia="黑体" w:cs="黑体"/>
          <w:sz w:val="32"/>
          <w:szCs w:val="32"/>
          <w:lang w:val="en-US" w:eastAsia="zh-CN"/>
        </w:rPr>
        <w:t>为合格</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六、存在的主要问题</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存在的问题：</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kern w:val="2"/>
          <w:sz w:val="32"/>
          <w:szCs w:val="32"/>
          <w:lang w:val="en-US" w:eastAsia="zh-CN"/>
        </w:rPr>
        <w:t>1、</w:t>
      </w:r>
      <w:r>
        <w:rPr>
          <w:rFonts w:hint="eastAsia" w:ascii="仿宋" w:hAnsi="仿宋" w:eastAsia="仿宋" w:cs="仿宋"/>
          <w:b w:val="0"/>
          <w:bCs w:val="0"/>
          <w:color w:val="auto"/>
          <w:spacing w:val="0"/>
          <w:kern w:val="2"/>
          <w:sz w:val="32"/>
          <w:szCs w:val="32"/>
          <w:lang w:val="en-US" w:eastAsia="zh-CN" w:bidi="ar-SA"/>
        </w:rPr>
        <w:t>科技创新能力不足。</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0"/>
          <w:sz w:val="32"/>
          <w:szCs w:val="32"/>
          <w:lang w:val="en-US" w:eastAsia="zh-CN" w:bidi="ar-SA"/>
        </w:rPr>
        <w:t>2、</w:t>
      </w:r>
      <w:r>
        <w:rPr>
          <w:rFonts w:hint="eastAsia" w:ascii="仿宋" w:hAnsi="仿宋" w:eastAsia="仿宋" w:cs="仿宋"/>
          <w:b w:val="0"/>
          <w:bCs w:val="0"/>
          <w:color w:val="auto"/>
          <w:spacing w:val="0"/>
          <w:kern w:val="2"/>
          <w:sz w:val="32"/>
          <w:szCs w:val="32"/>
          <w:lang w:val="en-US" w:eastAsia="zh-CN" w:bidi="ar-SA"/>
        </w:rPr>
        <w:t>企业培育任重道远。一是优质项目不足。二是智赋万企推进困难。三是要素保障乏力。</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2"/>
          <w:sz w:val="32"/>
          <w:szCs w:val="32"/>
          <w:lang w:val="en-US" w:eastAsia="zh-CN" w:bidi="ar-SA"/>
        </w:rPr>
        <w:t>3、招商引资困难较多。一是项目质量不高。二是产业配套不够完善。三是土地供应存在瓶颈。</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0"/>
          <w:sz w:val="32"/>
          <w:szCs w:val="32"/>
          <w:lang w:val="en-US" w:eastAsia="zh-CN" w:bidi="ar-SA"/>
        </w:rPr>
      </w:pPr>
      <w:r>
        <w:rPr>
          <w:rFonts w:hint="eastAsia" w:ascii="仿宋" w:hAnsi="仿宋" w:eastAsia="仿宋" w:cs="仿宋"/>
          <w:b w:val="0"/>
          <w:bCs w:val="0"/>
          <w:color w:val="auto"/>
          <w:spacing w:val="0"/>
          <w:kern w:val="0"/>
          <w:sz w:val="32"/>
          <w:szCs w:val="32"/>
          <w:lang w:val="en-US" w:eastAsia="zh-CN" w:bidi="ar-SA"/>
        </w:rPr>
        <w:t>4.消费市场不及预期。</w:t>
      </w:r>
    </w:p>
    <w:p>
      <w:pPr>
        <w:numPr>
          <w:ilvl w:val="0"/>
          <w:numId w:val="6"/>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改进措施和有关建议</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1、认清形势，坚定信心不动摇。</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2、加压奋进，咬定目标不放松。</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3、加大科研投资，加强研发力度。一是抓高新技术企业培育。二是抓科技项目申报。三是抓奖励政策兑现。</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4、加强企业申报项目意识，奖补资金拨付提高及时性。</w:t>
      </w:r>
    </w:p>
    <w:p>
      <w:pPr>
        <w:pStyle w:val="11"/>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宋体"/>
          <w:color w:val="auto"/>
          <w:spacing w:val="-6"/>
          <w:kern w:val="2"/>
          <w:sz w:val="32"/>
          <w:szCs w:val="32"/>
          <w:lang w:val="en-US" w:eastAsia="zh-CN" w:bidi="ar-SA"/>
        </w:rPr>
      </w:pPr>
      <w:r>
        <w:rPr>
          <w:rFonts w:hint="eastAsia" w:ascii="仿宋" w:hAnsi="仿宋" w:eastAsia="仿宋" w:cs="仿宋"/>
          <w:kern w:val="2"/>
          <w:sz w:val="32"/>
          <w:szCs w:val="32"/>
          <w:lang w:val="en-US" w:eastAsia="zh-CN"/>
        </w:rPr>
        <w:t>5、招商工作。一是抓招大引强。二是抓以商招商。三是抓</w:t>
      </w:r>
      <w:r>
        <w:rPr>
          <w:rFonts w:hint="eastAsia" w:ascii="Times New Roman" w:hAnsi="Times New Roman" w:eastAsia="仿宋_GB2312" w:cs="宋体"/>
          <w:color w:val="auto"/>
          <w:spacing w:val="-6"/>
          <w:kern w:val="2"/>
          <w:sz w:val="32"/>
          <w:szCs w:val="32"/>
          <w:lang w:val="en-US" w:eastAsia="zh-CN" w:bidi="ar-SA"/>
        </w:rPr>
        <w:t>湘商回归。</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5EE76"/>
    <w:multiLevelType w:val="singleLevel"/>
    <w:tmpl w:val="AAF5EE76"/>
    <w:lvl w:ilvl="0" w:tentative="0">
      <w:start w:val="1"/>
      <w:numFmt w:val="decimal"/>
      <w:suff w:val="nothing"/>
      <w:lvlText w:val="%1、"/>
      <w:lvlJc w:val="left"/>
    </w:lvl>
  </w:abstractNum>
  <w:abstractNum w:abstractNumId="1">
    <w:nsid w:val="DAC2B067"/>
    <w:multiLevelType w:val="singleLevel"/>
    <w:tmpl w:val="DAC2B067"/>
    <w:lvl w:ilvl="0" w:tentative="0">
      <w:start w:val="2"/>
      <w:numFmt w:val="chineseCounting"/>
      <w:suff w:val="nothing"/>
      <w:lvlText w:val="（%1）"/>
      <w:lvlJc w:val="left"/>
      <w:pPr>
        <w:ind w:left="-8"/>
      </w:pPr>
      <w:rPr>
        <w:rFonts w:hint="eastAsia"/>
      </w:rPr>
    </w:lvl>
  </w:abstractNum>
  <w:abstractNum w:abstractNumId="2">
    <w:nsid w:val="170FD196"/>
    <w:multiLevelType w:val="singleLevel"/>
    <w:tmpl w:val="170FD196"/>
    <w:lvl w:ilvl="0" w:tentative="0">
      <w:start w:val="7"/>
      <w:numFmt w:val="chineseCounting"/>
      <w:suff w:val="nothing"/>
      <w:lvlText w:val="%1、"/>
      <w:lvlJc w:val="left"/>
      <w:rPr>
        <w:rFonts w:hint="eastAsia"/>
      </w:rPr>
    </w:lvl>
  </w:abstractNum>
  <w:abstractNum w:abstractNumId="3">
    <w:nsid w:val="49700D1E"/>
    <w:multiLevelType w:val="singleLevel"/>
    <w:tmpl w:val="49700D1E"/>
    <w:lvl w:ilvl="0" w:tentative="0">
      <w:start w:val="2"/>
      <w:numFmt w:val="chineseCounting"/>
      <w:suff w:val="nothing"/>
      <w:lvlText w:val="%1、"/>
      <w:lvlJc w:val="left"/>
      <w:rPr>
        <w:rFonts w:hint="eastAsia"/>
      </w:rPr>
    </w:lvl>
  </w:abstractNum>
  <w:abstractNum w:abstractNumId="4">
    <w:nsid w:val="736FAD7E"/>
    <w:multiLevelType w:val="singleLevel"/>
    <w:tmpl w:val="736FAD7E"/>
    <w:lvl w:ilvl="0" w:tentative="0">
      <w:start w:val="3"/>
      <w:numFmt w:val="decimal"/>
      <w:suff w:val="nothing"/>
      <w:lvlText w:val="%1、"/>
      <w:lvlJc w:val="left"/>
    </w:lvl>
  </w:abstractNum>
  <w:abstractNum w:abstractNumId="5">
    <w:nsid w:val="7C39ABFC"/>
    <w:multiLevelType w:val="singleLevel"/>
    <w:tmpl w:val="7C39ABFC"/>
    <w:lvl w:ilvl="0" w:tentative="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YzgzMWNhNTI2MzA1ZWRlY2I1ZDA1NmFjYjMxOGY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13486"/>
    <w:rsid w:val="00E37D6C"/>
    <w:rsid w:val="00E40880"/>
    <w:rsid w:val="00E55B68"/>
    <w:rsid w:val="00E561AE"/>
    <w:rsid w:val="00E67BE6"/>
    <w:rsid w:val="00E8367E"/>
    <w:rsid w:val="00E8683C"/>
    <w:rsid w:val="00EA2B72"/>
    <w:rsid w:val="00F74360"/>
    <w:rsid w:val="00FB462F"/>
    <w:rsid w:val="00FE16FA"/>
    <w:rsid w:val="00FE328A"/>
    <w:rsid w:val="00FE6269"/>
    <w:rsid w:val="00FF5CD6"/>
    <w:rsid w:val="01FA65AD"/>
    <w:rsid w:val="039D38D1"/>
    <w:rsid w:val="05191440"/>
    <w:rsid w:val="054A784B"/>
    <w:rsid w:val="064A387B"/>
    <w:rsid w:val="07632E46"/>
    <w:rsid w:val="0776217B"/>
    <w:rsid w:val="096B4234"/>
    <w:rsid w:val="09C37BCC"/>
    <w:rsid w:val="0B9C6927"/>
    <w:rsid w:val="0D3037CB"/>
    <w:rsid w:val="0D9F625A"/>
    <w:rsid w:val="0DFE5677"/>
    <w:rsid w:val="0F67724C"/>
    <w:rsid w:val="0F7B6CEE"/>
    <w:rsid w:val="0F80235E"/>
    <w:rsid w:val="0FD03043"/>
    <w:rsid w:val="101F3682"/>
    <w:rsid w:val="10EA1EE2"/>
    <w:rsid w:val="10EC5C5A"/>
    <w:rsid w:val="120D40DA"/>
    <w:rsid w:val="12DC5954"/>
    <w:rsid w:val="13541895"/>
    <w:rsid w:val="138403CC"/>
    <w:rsid w:val="14830684"/>
    <w:rsid w:val="16EE1906"/>
    <w:rsid w:val="171E28E6"/>
    <w:rsid w:val="18076160"/>
    <w:rsid w:val="18477C1A"/>
    <w:rsid w:val="18C1177B"/>
    <w:rsid w:val="1D76522A"/>
    <w:rsid w:val="1D97DEFF"/>
    <w:rsid w:val="1DFF72E5"/>
    <w:rsid w:val="1E336318"/>
    <w:rsid w:val="1EFC6F07"/>
    <w:rsid w:val="23EA0555"/>
    <w:rsid w:val="24213A15"/>
    <w:rsid w:val="24747FE9"/>
    <w:rsid w:val="251610A0"/>
    <w:rsid w:val="2561056D"/>
    <w:rsid w:val="263E440B"/>
    <w:rsid w:val="26661BB3"/>
    <w:rsid w:val="26C471B9"/>
    <w:rsid w:val="2A1A0CEB"/>
    <w:rsid w:val="2A9071FF"/>
    <w:rsid w:val="2C2E4F21"/>
    <w:rsid w:val="2C721D74"/>
    <w:rsid w:val="2CC26ED9"/>
    <w:rsid w:val="2D1E6D44"/>
    <w:rsid w:val="2E1F2D74"/>
    <w:rsid w:val="2EBF00B3"/>
    <w:rsid w:val="2FDF85B8"/>
    <w:rsid w:val="2FFFEE04"/>
    <w:rsid w:val="32FD11AA"/>
    <w:rsid w:val="34DF85B0"/>
    <w:rsid w:val="36CC5A63"/>
    <w:rsid w:val="37465815"/>
    <w:rsid w:val="39F552D0"/>
    <w:rsid w:val="3ADB2718"/>
    <w:rsid w:val="3B082DE1"/>
    <w:rsid w:val="3B7F30A4"/>
    <w:rsid w:val="3B8F36BC"/>
    <w:rsid w:val="3BA96372"/>
    <w:rsid w:val="3BBF7944"/>
    <w:rsid w:val="3DF85C61"/>
    <w:rsid w:val="3E9E5F37"/>
    <w:rsid w:val="3EE31B9B"/>
    <w:rsid w:val="40925627"/>
    <w:rsid w:val="41384420"/>
    <w:rsid w:val="4404683C"/>
    <w:rsid w:val="47613D01"/>
    <w:rsid w:val="47A227C7"/>
    <w:rsid w:val="491FF225"/>
    <w:rsid w:val="49AD702E"/>
    <w:rsid w:val="49C5081B"/>
    <w:rsid w:val="4BDC1E4C"/>
    <w:rsid w:val="4FFD214C"/>
    <w:rsid w:val="503E1327"/>
    <w:rsid w:val="50EE68AA"/>
    <w:rsid w:val="50F1639A"/>
    <w:rsid w:val="5199350A"/>
    <w:rsid w:val="5248023B"/>
    <w:rsid w:val="575256B8"/>
    <w:rsid w:val="5777D4F5"/>
    <w:rsid w:val="58647451"/>
    <w:rsid w:val="592F26FE"/>
    <w:rsid w:val="59C4289D"/>
    <w:rsid w:val="59DD8326"/>
    <w:rsid w:val="59EE18A4"/>
    <w:rsid w:val="5B4812AC"/>
    <w:rsid w:val="5BAD55B3"/>
    <w:rsid w:val="5C284E6E"/>
    <w:rsid w:val="5CA32D7B"/>
    <w:rsid w:val="5D465377"/>
    <w:rsid w:val="5D4D7E0E"/>
    <w:rsid w:val="5DEF592A"/>
    <w:rsid w:val="5FC353A5"/>
    <w:rsid w:val="5FC6BB1E"/>
    <w:rsid w:val="5FF720F1"/>
    <w:rsid w:val="611D0AE5"/>
    <w:rsid w:val="620F6680"/>
    <w:rsid w:val="625C73EB"/>
    <w:rsid w:val="627806C9"/>
    <w:rsid w:val="644F5393"/>
    <w:rsid w:val="657A4758"/>
    <w:rsid w:val="658E00E5"/>
    <w:rsid w:val="67332E10"/>
    <w:rsid w:val="6753700F"/>
    <w:rsid w:val="675E67AE"/>
    <w:rsid w:val="67FF5C0B"/>
    <w:rsid w:val="689618A9"/>
    <w:rsid w:val="6EFC0924"/>
    <w:rsid w:val="6F326244"/>
    <w:rsid w:val="6FB74722"/>
    <w:rsid w:val="6FEF8B7E"/>
    <w:rsid w:val="70096E04"/>
    <w:rsid w:val="705A7660"/>
    <w:rsid w:val="71017ADB"/>
    <w:rsid w:val="71A6591B"/>
    <w:rsid w:val="722241AD"/>
    <w:rsid w:val="737D59BA"/>
    <w:rsid w:val="749B0247"/>
    <w:rsid w:val="760D0CD1"/>
    <w:rsid w:val="76684159"/>
    <w:rsid w:val="77C37683"/>
    <w:rsid w:val="785B3F75"/>
    <w:rsid w:val="79D19834"/>
    <w:rsid w:val="79FF515B"/>
    <w:rsid w:val="7A9A2C31"/>
    <w:rsid w:val="7BE20509"/>
    <w:rsid w:val="7E9E1962"/>
    <w:rsid w:val="7E9F11B4"/>
    <w:rsid w:val="7EC860DC"/>
    <w:rsid w:val="7F37EC1E"/>
    <w:rsid w:val="7F645E05"/>
    <w:rsid w:val="7F7DCD9D"/>
    <w:rsid w:val="7F970A6F"/>
    <w:rsid w:val="7FB34697"/>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widowControl w:val="0"/>
      <w:ind w:left="101" w:firstLine="100" w:firstLineChars="100"/>
      <w:jc w:val="both"/>
    </w:pPr>
    <w:rPr>
      <w:rFonts w:ascii="Times New Roman" w:hAnsi="Times New Roman" w:eastAsia="宋体" w:cs="Times New Roman"/>
      <w:b/>
      <w:bCs/>
      <w:kern w:val="2"/>
      <w:sz w:val="34"/>
      <w:szCs w:val="34"/>
      <w:lang w:val="zh-CN" w:eastAsia="zh-CN" w:bidi="zh-CN"/>
    </w:rPr>
  </w:style>
  <w:style w:type="paragraph" w:styleId="4">
    <w:name w:val="Normal Indent"/>
    <w:basedOn w:val="1"/>
    <w:qFormat/>
    <w:uiPriority w:val="99"/>
    <w:pPr>
      <w:ind w:firstLine="420" w:firstLineChars="2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24</TotalTime>
  <ScaleCrop>false</ScaleCrop>
  <LinksUpToDate>false</LinksUpToDate>
  <CharactersWithSpaces>9786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雷珊</cp:lastModifiedBy>
  <cp:lastPrinted>2024-08-08T18:20:00Z</cp:lastPrinted>
  <dcterms:modified xsi:type="dcterms:W3CDTF">2025-08-25T03:09:46Z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BB7B6AA21D207914D6FDA268992A22D6</vt:lpwstr>
  </property>
</Properties>
</file>