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30"/>
        <w:gridCol w:w="1092"/>
      </w:tblGrid>
      <w:tr w14:paraId="6581A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7430" w:type="dxa"/>
            <w:vAlign w:val="center"/>
          </w:tcPr>
          <w:p w14:paraId="0DC19BF7">
            <w:pPr>
              <w:keepNext w:val="0"/>
              <w:keepLines w:val="0"/>
              <w:pageBreakBefore w:val="0"/>
              <w:widowControl w:val="0"/>
              <w:kinsoku/>
              <w:wordWrap/>
              <w:overflowPunct/>
              <w:topLinePunct w:val="0"/>
              <w:autoSpaceDE/>
              <w:autoSpaceDN/>
              <w:bidi w:val="0"/>
              <w:adjustRightInd/>
              <w:snapToGrid/>
              <w:spacing w:line="1200" w:lineRule="exact"/>
              <w:jc w:val="distribute"/>
              <w:textAlignment w:val="auto"/>
              <w:rPr>
                <w:rFonts w:hint="eastAsia" w:ascii="方正大标宋简体" w:hAnsi="方正大标宋简体" w:eastAsia="方正大标宋简体" w:cs="方正大标宋简体"/>
                <w:color w:val="FF3300"/>
                <w:w w:val="70"/>
                <w:sz w:val="100"/>
                <w:szCs w:val="100"/>
                <w:vertAlign w:val="baseline"/>
              </w:rPr>
            </w:pPr>
            <w:r>
              <w:rPr>
                <w:rFonts w:hint="eastAsia" w:ascii="方正大标宋简体" w:hAnsi="方正大标宋简体" w:eastAsia="方正大标宋简体" w:cs="方正大标宋简体"/>
                <w:color w:val="FF3300"/>
                <w:w w:val="55"/>
                <w:sz w:val="100"/>
                <w:szCs w:val="100"/>
                <w:lang w:eastAsia="zh-CN"/>
              </w:rPr>
              <w:t>蓝山</w:t>
            </w:r>
            <w:r>
              <w:rPr>
                <w:rFonts w:hint="eastAsia" w:ascii="方正大标宋简体" w:hAnsi="方正大标宋简体" w:eastAsia="方正大标宋简体" w:cs="方正大标宋简体"/>
                <w:color w:val="FF3300"/>
                <w:w w:val="55"/>
                <w:sz w:val="100"/>
                <w:szCs w:val="100"/>
              </w:rPr>
              <w:t>县住房和城乡建设局</w:t>
            </w:r>
          </w:p>
        </w:tc>
        <w:tc>
          <w:tcPr>
            <w:tcW w:w="1092" w:type="dxa"/>
            <w:vMerge w:val="restart"/>
            <w:vAlign w:val="center"/>
          </w:tcPr>
          <w:p w14:paraId="17DBFA83">
            <w:pPr>
              <w:keepNext w:val="0"/>
              <w:keepLines w:val="0"/>
              <w:pageBreakBefore w:val="0"/>
              <w:widowControl w:val="0"/>
              <w:kinsoku/>
              <w:wordWrap/>
              <w:overflowPunct/>
              <w:topLinePunct w:val="0"/>
              <w:autoSpaceDE/>
              <w:autoSpaceDN/>
              <w:bidi w:val="0"/>
              <w:adjustRightInd/>
              <w:snapToGrid/>
              <w:spacing w:line="1200" w:lineRule="exact"/>
              <w:jc w:val="center"/>
              <w:textAlignment w:val="auto"/>
              <w:rPr>
                <w:rFonts w:hint="eastAsia" w:ascii="方正大标宋简体" w:hAnsi="方正大标宋简体" w:eastAsia="方正大标宋简体" w:cs="方正大标宋简体"/>
                <w:color w:val="FF3300"/>
                <w:sz w:val="100"/>
                <w:szCs w:val="100"/>
                <w:vertAlign w:val="baseline"/>
              </w:rPr>
            </w:pPr>
            <w:r>
              <w:rPr>
                <w:rFonts w:hint="eastAsia" w:ascii="方正大标宋简体" w:hAnsi="方正大标宋简体" w:eastAsia="方正大标宋简体" w:cs="方正大标宋简体"/>
                <w:color w:val="FF3300"/>
                <w:w w:val="90"/>
                <w:sz w:val="100"/>
                <w:szCs w:val="100"/>
              </w:rPr>
              <w:t>文件</w:t>
            </w:r>
          </w:p>
        </w:tc>
      </w:tr>
      <w:tr w14:paraId="79DE1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7430" w:type="dxa"/>
            <w:vAlign w:val="center"/>
          </w:tcPr>
          <w:p w14:paraId="3A582028">
            <w:pPr>
              <w:keepNext w:val="0"/>
              <w:keepLines w:val="0"/>
              <w:pageBreakBefore w:val="0"/>
              <w:widowControl w:val="0"/>
              <w:kinsoku/>
              <w:wordWrap/>
              <w:overflowPunct/>
              <w:topLinePunct w:val="0"/>
              <w:autoSpaceDE/>
              <w:autoSpaceDN/>
              <w:bidi w:val="0"/>
              <w:adjustRightInd/>
              <w:snapToGrid/>
              <w:spacing w:line="1200" w:lineRule="exact"/>
              <w:jc w:val="distribute"/>
              <w:textAlignment w:val="auto"/>
              <w:rPr>
                <w:rFonts w:hint="eastAsia" w:ascii="方正大标宋简体" w:hAnsi="方正大标宋简体" w:eastAsia="方正大标宋简体" w:cs="方正大标宋简体"/>
                <w:color w:val="FF3300"/>
                <w:w w:val="55"/>
                <w:sz w:val="100"/>
                <w:szCs w:val="100"/>
              </w:rPr>
            </w:pPr>
            <w:r>
              <w:rPr>
                <w:rFonts w:hint="eastAsia" w:ascii="方正大标宋简体" w:hAnsi="方正大标宋简体" w:eastAsia="方正大标宋简体" w:cs="方正大标宋简体"/>
                <w:color w:val="FF3300"/>
                <w:w w:val="55"/>
                <w:sz w:val="100"/>
                <w:szCs w:val="100"/>
                <w:lang w:eastAsia="zh-CN"/>
              </w:rPr>
              <w:t>蓝山</w:t>
            </w:r>
            <w:r>
              <w:rPr>
                <w:rFonts w:hint="eastAsia" w:ascii="方正大标宋简体" w:hAnsi="方正大标宋简体" w:eastAsia="方正大标宋简体" w:cs="方正大标宋简体"/>
                <w:color w:val="FF3300"/>
                <w:w w:val="55"/>
                <w:sz w:val="100"/>
                <w:szCs w:val="100"/>
              </w:rPr>
              <w:t>县城市管理和综合执法局</w:t>
            </w:r>
          </w:p>
        </w:tc>
        <w:tc>
          <w:tcPr>
            <w:tcW w:w="1092" w:type="dxa"/>
            <w:vMerge w:val="continue"/>
            <w:vAlign w:val="center"/>
          </w:tcPr>
          <w:p w14:paraId="3DE4A262">
            <w:pPr>
              <w:keepNext w:val="0"/>
              <w:keepLines w:val="0"/>
              <w:pageBreakBefore w:val="0"/>
              <w:widowControl w:val="0"/>
              <w:kinsoku/>
              <w:wordWrap/>
              <w:overflowPunct/>
              <w:topLinePunct w:val="0"/>
              <w:autoSpaceDE/>
              <w:autoSpaceDN/>
              <w:bidi w:val="0"/>
              <w:adjustRightInd/>
              <w:snapToGrid/>
              <w:spacing w:line="1200" w:lineRule="exact"/>
              <w:jc w:val="center"/>
              <w:textAlignment w:val="auto"/>
              <w:rPr>
                <w:rFonts w:hint="eastAsia" w:ascii="方正大标宋简体" w:hAnsi="方正大标宋简体" w:eastAsia="方正大标宋简体" w:cs="方正大标宋简体"/>
                <w:color w:val="FF3300"/>
                <w:sz w:val="100"/>
                <w:szCs w:val="100"/>
                <w:vertAlign w:val="baseline"/>
              </w:rPr>
            </w:pPr>
          </w:p>
        </w:tc>
      </w:tr>
      <w:tr w14:paraId="509E2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7430" w:type="dxa"/>
            <w:vAlign w:val="center"/>
          </w:tcPr>
          <w:p w14:paraId="02A2DA5C">
            <w:pPr>
              <w:keepNext w:val="0"/>
              <w:keepLines w:val="0"/>
              <w:pageBreakBefore w:val="0"/>
              <w:widowControl w:val="0"/>
              <w:kinsoku/>
              <w:wordWrap/>
              <w:overflowPunct/>
              <w:topLinePunct w:val="0"/>
              <w:autoSpaceDE/>
              <w:autoSpaceDN/>
              <w:bidi w:val="0"/>
              <w:adjustRightInd/>
              <w:snapToGrid/>
              <w:spacing w:line="1200" w:lineRule="exact"/>
              <w:jc w:val="distribute"/>
              <w:textAlignment w:val="auto"/>
              <w:rPr>
                <w:rFonts w:hint="eastAsia" w:ascii="方正大标宋简体" w:hAnsi="方正大标宋简体" w:eastAsia="方正大标宋简体" w:cs="方正大标宋简体"/>
                <w:color w:val="FF3300"/>
                <w:w w:val="55"/>
                <w:sz w:val="100"/>
                <w:szCs w:val="100"/>
              </w:rPr>
            </w:pPr>
            <w:r>
              <w:rPr>
                <w:rFonts w:hint="eastAsia" w:ascii="方正大标宋简体" w:hAnsi="方正大标宋简体" w:eastAsia="方正大标宋简体" w:cs="方正大标宋简体"/>
                <w:color w:val="FF3300"/>
                <w:w w:val="55"/>
                <w:sz w:val="100"/>
                <w:szCs w:val="100"/>
                <w:lang w:eastAsia="zh-CN"/>
              </w:rPr>
              <w:t>蓝山</w:t>
            </w:r>
            <w:r>
              <w:rPr>
                <w:rFonts w:hint="eastAsia" w:ascii="方正大标宋简体" w:hAnsi="方正大标宋简体" w:eastAsia="方正大标宋简体" w:cs="方正大标宋简体"/>
                <w:color w:val="FF3300"/>
                <w:w w:val="55"/>
                <w:sz w:val="100"/>
                <w:szCs w:val="100"/>
              </w:rPr>
              <w:t>县自然资源局</w:t>
            </w:r>
          </w:p>
        </w:tc>
        <w:tc>
          <w:tcPr>
            <w:tcW w:w="1092" w:type="dxa"/>
            <w:vMerge w:val="continue"/>
            <w:vAlign w:val="center"/>
          </w:tcPr>
          <w:p w14:paraId="56756FCB">
            <w:pPr>
              <w:keepNext w:val="0"/>
              <w:keepLines w:val="0"/>
              <w:pageBreakBefore w:val="0"/>
              <w:widowControl w:val="0"/>
              <w:kinsoku/>
              <w:wordWrap/>
              <w:overflowPunct/>
              <w:topLinePunct w:val="0"/>
              <w:autoSpaceDE/>
              <w:autoSpaceDN/>
              <w:bidi w:val="0"/>
              <w:adjustRightInd/>
              <w:snapToGrid/>
              <w:spacing w:line="1200" w:lineRule="exact"/>
              <w:jc w:val="center"/>
              <w:textAlignment w:val="auto"/>
              <w:rPr>
                <w:rFonts w:hint="eastAsia" w:ascii="方正大标宋简体" w:hAnsi="方正大标宋简体" w:eastAsia="方正大标宋简体" w:cs="方正大标宋简体"/>
                <w:color w:val="FF3300"/>
                <w:sz w:val="100"/>
                <w:szCs w:val="100"/>
                <w:vertAlign w:val="baseline"/>
              </w:rPr>
            </w:pPr>
          </w:p>
        </w:tc>
      </w:tr>
      <w:tr w14:paraId="426AC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7430" w:type="dxa"/>
            <w:vAlign w:val="center"/>
          </w:tcPr>
          <w:p w14:paraId="1BCCE405">
            <w:pPr>
              <w:keepNext w:val="0"/>
              <w:keepLines w:val="0"/>
              <w:pageBreakBefore w:val="0"/>
              <w:widowControl w:val="0"/>
              <w:kinsoku/>
              <w:wordWrap/>
              <w:overflowPunct/>
              <w:topLinePunct w:val="0"/>
              <w:autoSpaceDE/>
              <w:autoSpaceDN/>
              <w:bidi w:val="0"/>
              <w:adjustRightInd/>
              <w:snapToGrid/>
              <w:spacing w:line="1200" w:lineRule="exact"/>
              <w:jc w:val="distribute"/>
              <w:textAlignment w:val="auto"/>
              <w:rPr>
                <w:rFonts w:hint="eastAsia" w:ascii="方正大标宋简体" w:hAnsi="方正大标宋简体" w:eastAsia="方正大标宋简体" w:cs="方正大标宋简体"/>
                <w:color w:val="FF3300"/>
                <w:w w:val="55"/>
                <w:sz w:val="100"/>
                <w:szCs w:val="100"/>
              </w:rPr>
            </w:pPr>
            <w:r>
              <w:rPr>
                <w:rFonts w:hint="eastAsia" w:ascii="方正大标宋简体" w:hAnsi="方正大标宋简体" w:eastAsia="方正大标宋简体" w:cs="方正大标宋简体"/>
                <w:color w:val="FF3300"/>
                <w:w w:val="55"/>
                <w:sz w:val="100"/>
                <w:szCs w:val="100"/>
                <w:lang w:eastAsia="zh-CN"/>
              </w:rPr>
              <w:t>蓝山</w:t>
            </w:r>
            <w:r>
              <w:rPr>
                <w:rFonts w:hint="eastAsia" w:ascii="方正大标宋简体" w:hAnsi="方正大标宋简体" w:eastAsia="方正大标宋简体" w:cs="方正大标宋简体"/>
                <w:color w:val="FF3300"/>
                <w:w w:val="55"/>
                <w:sz w:val="100"/>
                <w:szCs w:val="100"/>
              </w:rPr>
              <w:t>县 财 政 局</w:t>
            </w:r>
          </w:p>
        </w:tc>
        <w:tc>
          <w:tcPr>
            <w:tcW w:w="1092" w:type="dxa"/>
            <w:vMerge w:val="continue"/>
            <w:vAlign w:val="center"/>
          </w:tcPr>
          <w:p w14:paraId="23295673">
            <w:pPr>
              <w:keepNext w:val="0"/>
              <w:keepLines w:val="0"/>
              <w:pageBreakBefore w:val="0"/>
              <w:widowControl w:val="0"/>
              <w:kinsoku/>
              <w:wordWrap/>
              <w:overflowPunct/>
              <w:topLinePunct w:val="0"/>
              <w:autoSpaceDE/>
              <w:autoSpaceDN/>
              <w:bidi w:val="0"/>
              <w:adjustRightInd/>
              <w:snapToGrid/>
              <w:spacing w:line="1200" w:lineRule="exact"/>
              <w:jc w:val="center"/>
              <w:textAlignment w:val="auto"/>
              <w:rPr>
                <w:rFonts w:hint="eastAsia" w:ascii="方正大标宋简体" w:hAnsi="方正大标宋简体" w:eastAsia="方正大标宋简体" w:cs="方正大标宋简体"/>
                <w:color w:val="FF3300"/>
                <w:sz w:val="100"/>
                <w:szCs w:val="100"/>
                <w:vertAlign w:val="baseline"/>
              </w:rPr>
            </w:pPr>
          </w:p>
        </w:tc>
      </w:tr>
      <w:tr w14:paraId="3FE55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7430" w:type="dxa"/>
            <w:vAlign w:val="center"/>
          </w:tcPr>
          <w:p w14:paraId="32E785E8">
            <w:pPr>
              <w:keepNext w:val="0"/>
              <w:keepLines w:val="0"/>
              <w:pageBreakBefore w:val="0"/>
              <w:widowControl w:val="0"/>
              <w:kinsoku/>
              <w:wordWrap/>
              <w:overflowPunct/>
              <w:topLinePunct w:val="0"/>
              <w:autoSpaceDE/>
              <w:autoSpaceDN/>
              <w:bidi w:val="0"/>
              <w:adjustRightInd/>
              <w:snapToGrid/>
              <w:spacing w:line="1200" w:lineRule="exact"/>
              <w:jc w:val="distribute"/>
              <w:textAlignment w:val="auto"/>
              <w:rPr>
                <w:rFonts w:hint="eastAsia" w:ascii="方正大标宋简体" w:hAnsi="方正大标宋简体" w:eastAsia="方正大标宋简体" w:cs="方正大标宋简体"/>
                <w:color w:val="FF3300"/>
                <w:w w:val="55"/>
                <w:sz w:val="100"/>
                <w:szCs w:val="100"/>
              </w:rPr>
            </w:pPr>
            <w:r>
              <w:rPr>
                <w:rFonts w:hint="eastAsia" w:ascii="方正大标宋简体" w:hAnsi="方正大标宋简体" w:eastAsia="方正大标宋简体" w:cs="方正大标宋简体"/>
                <w:color w:val="FF3300"/>
                <w:w w:val="55"/>
                <w:sz w:val="100"/>
                <w:szCs w:val="100"/>
                <w:lang w:eastAsia="zh-CN"/>
              </w:rPr>
              <w:t>蓝山</w:t>
            </w:r>
            <w:r>
              <w:rPr>
                <w:rFonts w:hint="eastAsia" w:ascii="方正大标宋简体" w:hAnsi="方正大标宋简体" w:eastAsia="方正大标宋简体" w:cs="方正大标宋简体"/>
                <w:color w:val="FF3300"/>
                <w:w w:val="55"/>
                <w:sz w:val="100"/>
                <w:szCs w:val="100"/>
              </w:rPr>
              <w:t>县 司 法 局</w:t>
            </w:r>
          </w:p>
        </w:tc>
        <w:tc>
          <w:tcPr>
            <w:tcW w:w="1092" w:type="dxa"/>
            <w:vMerge w:val="continue"/>
            <w:vAlign w:val="center"/>
          </w:tcPr>
          <w:p w14:paraId="33B1B576">
            <w:pPr>
              <w:keepNext w:val="0"/>
              <w:keepLines w:val="0"/>
              <w:pageBreakBefore w:val="0"/>
              <w:widowControl w:val="0"/>
              <w:kinsoku/>
              <w:wordWrap/>
              <w:overflowPunct/>
              <w:topLinePunct w:val="0"/>
              <w:autoSpaceDE/>
              <w:autoSpaceDN/>
              <w:bidi w:val="0"/>
              <w:adjustRightInd/>
              <w:snapToGrid/>
              <w:spacing w:line="1200" w:lineRule="exact"/>
              <w:jc w:val="center"/>
              <w:textAlignment w:val="auto"/>
              <w:rPr>
                <w:rFonts w:hint="eastAsia" w:ascii="方正大标宋简体" w:hAnsi="方正大标宋简体" w:eastAsia="方正大标宋简体" w:cs="方正大标宋简体"/>
                <w:color w:val="FF3300"/>
                <w:sz w:val="100"/>
                <w:szCs w:val="100"/>
                <w:vertAlign w:val="baseline"/>
              </w:rPr>
            </w:pPr>
          </w:p>
        </w:tc>
      </w:tr>
      <w:tr w14:paraId="5B4E6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7430" w:type="dxa"/>
            <w:vAlign w:val="center"/>
          </w:tcPr>
          <w:p w14:paraId="6E2DCDCC">
            <w:pPr>
              <w:keepNext w:val="0"/>
              <w:keepLines w:val="0"/>
              <w:pageBreakBefore w:val="0"/>
              <w:widowControl w:val="0"/>
              <w:kinsoku/>
              <w:wordWrap/>
              <w:overflowPunct/>
              <w:topLinePunct w:val="0"/>
              <w:autoSpaceDE/>
              <w:autoSpaceDN/>
              <w:bidi w:val="0"/>
              <w:adjustRightInd/>
              <w:snapToGrid/>
              <w:spacing w:line="1200" w:lineRule="exact"/>
              <w:jc w:val="distribute"/>
              <w:textAlignment w:val="auto"/>
              <w:rPr>
                <w:rFonts w:hint="eastAsia" w:ascii="方正大标宋简体" w:hAnsi="方正大标宋简体" w:eastAsia="方正大标宋简体" w:cs="方正大标宋简体"/>
                <w:color w:val="FF3300"/>
                <w:w w:val="55"/>
                <w:sz w:val="100"/>
                <w:szCs w:val="100"/>
              </w:rPr>
            </w:pPr>
            <w:r>
              <w:rPr>
                <w:rFonts w:hint="eastAsia" w:ascii="方正大标宋简体" w:hAnsi="方正大标宋简体" w:eastAsia="方正大标宋简体" w:cs="方正大标宋简体"/>
                <w:color w:val="FF3300"/>
                <w:w w:val="55"/>
                <w:sz w:val="100"/>
                <w:szCs w:val="100"/>
              </w:rPr>
              <w:t>国家税务总局</w:t>
            </w:r>
            <w:r>
              <w:rPr>
                <w:rFonts w:hint="eastAsia" w:ascii="方正大标宋简体" w:hAnsi="方正大标宋简体" w:eastAsia="方正大标宋简体" w:cs="方正大标宋简体"/>
                <w:color w:val="FF3300"/>
                <w:w w:val="55"/>
                <w:sz w:val="100"/>
                <w:szCs w:val="100"/>
                <w:lang w:eastAsia="zh-CN"/>
              </w:rPr>
              <w:t>蓝山</w:t>
            </w:r>
            <w:r>
              <w:rPr>
                <w:rFonts w:hint="eastAsia" w:ascii="方正大标宋简体" w:hAnsi="方正大标宋简体" w:eastAsia="方正大标宋简体" w:cs="方正大标宋简体"/>
                <w:color w:val="FF3300"/>
                <w:w w:val="55"/>
                <w:sz w:val="100"/>
                <w:szCs w:val="100"/>
              </w:rPr>
              <w:t>县税务局</w:t>
            </w:r>
          </w:p>
        </w:tc>
        <w:tc>
          <w:tcPr>
            <w:tcW w:w="1092" w:type="dxa"/>
            <w:vMerge w:val="continue"/>
            <w:vAlign w:val="center"/>
          </w:tcPr>
          <w:p w14:paraId="6FDDCF7F">
            <w:pPr>
              <w:keepNext w:val="0"/>
              <w:keepLines w:val="0"/>
              <w:pageBreakBefore w:val="0"/>
              <w:widowControl w:val="0"/>
              <w:kinsoku/>
              <w:wordWrap/>
              <w:overflowPunct/>
              <w:topLinePunct w:val="0"/>
              <w:autoSpaceDE/>
              <w:autoSpaceDN/>
              <w:bidi w:val="0"/>
              <w:adjustRightInd/>
              <w:snapToGrid/>
              <w:spacing w:line="1200" w:lineRule="exact"/>
              <w:jc w:val="center"/>
              <w:textAlignment w:val="auto"/>
              <w:rPr>
                <w:rFonts w:hint="eastAsia" w:ascii="方正大标宋简体" w:hAnsi="方正大标宋简体" w:eastAsia="方正大标宋简体" w:cs="方正大标宋简体"/>
                <w:color w:val="FF3300"/>
                <w:sz w:val="100"/>
                <w:szCs w:val="100"/>
                <w:vertAlign w:val="baseline"/>
              </w:rPr>
            </w:pPr>
          </w:p>
        </w:tc>
      </w:tr>
    </w:tbl>
    <w:p w14:paraId="140433C0">
      <w:pPr>
        <w:spacing w:line="290" w:lineRule="auto"/>
        <w:rPr>
          <w:rFonts w:ascii="Arial"/>
          <w:sz w:val="21"/>
        </w:rPr>
      </w:pPr>
    </w:p>
    <w:p w14:paraId="4C50BEFC">
      <w:pPr>
        <w:pStyle w:val="3"/>
        <w:spacing w:before="97" w:line="222" w:lineRule="auto"/>
        <w:ind w:left="2649"/>
        <w:rPr>
          <w:rFonts w:hint="eastAsia" w:ascii="仿宋_GB2312" w:hAnsi="仿宋_GB2312" w:eastAsia="仿宋_GB2312" w:cs="仿宋_GB2312"/>
          <w:spacing w:val="3"/>
        </w:rPr>
      </w:pPr>
      <w:r>
        <w:rPr>
          <w:rFonts w:hint="eastAsia" w:ascii="仿宋_GB2312" w:hAnsi="仿宋_GB2312" w:eastAsia="仿宋_GB2312" w:cs="仿宋_GB2312"/>
          <w:spacing w:val="3"/>
          <w:lang w:eastAsia="zh-CN"/>
        </w:rPr>
        <w:t>蓝</w:t>
      </w:r>
      <w:r>
        <w:rPr>
          <w:rFonts w:hint="eastAsia" w:ascii="仿宋_GB2312" w:hAnsi="仿宋_GB2312" w:eastAsia="仿宋_GB2312" w:cs="仿宋_GB2312"/>
          <w:spacing w:val="3"/>
        </w:rPr>
        <w:t>住建联发〔202</w:t>
      </w:r>
      <w:r>
        <w:rPr>
          <w:rFonts w:hint="eastAsia" w:ascii="仿宋_GB2312" w:hAnsi="仿宋_GB2312" w:eastAsia="仿宋_GB2312" w:cs="仿宋_GB2312"/>
          <w:spacing w:val="3"/>
          <w:lang w:val="en-US" w:eastAsia="zh-CN"/>
        </w:rPr>
        <w:t>6</w:t>
      </w:r>
      <w:r>
        <w:rPr>
          <w:rFonts w:hint="eastAsia" w:ascii="仿宋_GB2312" w:hAnsi="仿宋_GB2312" w:eastAsia="仿宋_GB2312" w:cs="仿宋_GB2312"/>
          <w:spacing w:val="3"/>
        </w:rPr>
        <w:t>〕</w:t>
      </w:r>
      <w:r>
        <w:rPr>
          <w:rFonts w:hint="eastAsia" w:ascii="仿宋_GB2312" w:hAnsi="仿宋_GB2312" w:eastAsia="仿宋_GB2312" w:cs="仿宋_GB2312"/>
          <w:spacing w:val="3"/>
          <w:lang w:val="en-US" w:eastAsia="zh-CN"/>
        </w:rPr>
        <w:t>xx</w:t>
      </w:r>
      <w:r>
        <w:rPr>
          <w:rFonts w:hint="eastAsia" w:ascii="仿宋_GB2312" w:hAnsi="仿宋_GB2312" w:eastAsia="仿宋_GB2312" w:cs="仿宋_GB2312"/>
          <w:spacing w:val="3"/>
        </w:rPr>
        <w:t>号</w:t>
      </w:r>
    </w:p>
    <w:p w14:paraId="25FAB0FC">
      <w:pPr>
        <w:spacing w:line="278" w:lineRule="auto"/>
        <w:rPr>
          <w:rFonts w:ascii="Arial"/>
          <w:sz w:val="21"/>
        </w:rPr>
      </w:pPr>
      <w:r>
        <w:rPr>
          <w:sz w:val="32"/>
        </w:rPr>
        <mc:AlternateContent>
          <mc:Choice Requires="wps">
            <w:drawing>
              <wp:anchor distT="0" distB="0" distL="114300" distR="114300" simplePos="0" relativeHeight="251660288" behindDoc="0" locked="0" layoutInCell="1" allowOverlap="1">
                <wp:simplePos x="0" y="0"/>
                <wp:positionH relativeFrom="column">
                  <wp:posOffset>-52070</wp:posOffset>
                </wp:positionH>
                <wp:positionV relativeFrom="paragraph">
                  <wp:posOffset>79375</wp:posOffset>
                </wp:positionV>
                <wp:extent cx="5619750" cy="0"/>
                <wp:effectExtent l="0" t="12700" r="0" b="15875"/>
                <wp:wrapNone/>
                <wp:docPr id="1" name="直接连接符 1"/>
                <wp:cNvGraphicFramePr/>
                <a:graphic xmlns:a="http://schemas.openxmlformats.org/drawingml/2006/main">
                  <a:graphicData uri="http://schemas.microsoft.com/office/word/2010/wordprocessingShape">
                    <wps:wsp>
                      <wps:cNvCnPr/>
                      <wps:spPr>
                        <a:xfrm>
                          <a:off x="0" y="0"/>
                          <a:ext cx="5619750" cy="0"/>
                        </a:xfrm>
                        <a:prstGeom prst="line">
                          <a:avLst/>
                        </a:prstGeom>
                        <a:ln w="25400">
                          <a:solidFill>
                            <a:srgbClr val="FF33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4.1pt;margin-top:6.25pt;height:0pt;width:442.5pt;z-index:251660288;mso-width-relative:page;mso-height-relative:page;" filled="f" stroked="t" coordsize="21600,21600" o:gfxdata="UEsDBAoAAAAAAIdO4kAAAAAAAAAAAAAAAAAEAAAAZHJzL1BLAwQUAAAACACHTuJADcoN+dMAAAAI&#10;AQAADwAAAGRycy9kb3ducmV2LnhtbE2PzU7DMBCE70i8g7VI3Fo7kShRiNNDq0rAjQL3bbwkaeN1&#10;FLt/b88iDnDcmdHsN9Xy4gd1oin2gS1kcwOKuAmu59bCx/tmVoCKCdnhEJgsXCnCsr69qbB04cxv&#10;dNqmVkkJxxItdCmNpdax6chjnIeRWLyvMHlMck6tdhOepdwPOjdmoT32LB86HGnVUXPYHr0FvG72&#10;L/ss06/m2Wm//jQ5ro2193eZeQKV6JL+wvCDL+hQC9MuHNlFNViYFbkkRc8fQIlfPC5kyu5X0HWl&#10;/w+ovwFQSwMEFAAAAAgAh07iQM/4ENPnAQAAsgMAAA4AAABkcnMvZTJvRG9jLnhtbK1TzY7TMBC+&#10;I/EOlu80aZcuS9R0D1uVC4JKwAO4jpNY8p9mvE37ErwAEjc4ceTO27A8BmOn2/3hsgdycMbjmW/m&#10;+zxeXO6tYTsFqL2r+XRScqac9I12Xc0/fVy/uOAMo3CNMN6pmh8U8svl82eLIVRq5ntvGgWMQBxW&#10;Q6h5H2OoigJlr6zAiQ/K0WHrwYpIW+iKBsRA6NYUs7I8LwYPTQAvFSJ5V+MhPyLCUwB922qpVl5e&#10;W+XiiArKiEiUsNcB+TJ327ZKxvdtiyoyU3NiGvNKRcjeprVYLkTVgQi9lscWxFNaeMTJCu2o6Alq&#10;JaJg16D/gbJagkffxon0thiJZEWIxbR8pM2HXgSVuZDUGE6i4/+Dle92G2C6oUngzAlLF37z5efv&#10;z9/+/PpK682P72yaRBoCVhR75TZw3GHYQGK8b8GmP3Fh+yzs4SSs2kcmyTk/n75+NSfN5e1ZcZcY&#10;AOMb5S1LRs2NdomzqMTuLUYqRqG3Icnt/Fobk+/NODbUfDZ/WSZoQcPY0hCQaQMRQtdxJkxHUy4j&#10;ZEj0RjcpPQEhdNsrA2wnaDbW67MzQhnLPQhLtVcC+zEuH41TY3Wkh2C0rflFmb5jtnHUc9JrVChZ&#10;W98csnDZT1eZWR3HLs3K/X3Ovntqy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Nyg350wAAAAgB&#10;AAAPAAAAAAAAAAEAIAAAACIAAABkcnMvZG93bnJldi54bWxQSwECFAAUAAAACACHTuJAz/gQ0+cB&#10;AACyAwAADgAAAAAAAAABACAAAAAiAQAAZHJzL2Uyb0RvYy54bWxQSwUGAAAAAAYABgBZAQAAewUA&#10;AAAA&#10;">
                <v:fill on="f" focussize="0,0"/>
                <v:stroke weight="2pt" color="#FF3300 [3204]" miterlimit="8" joinstyle="miter"/>
                <v:imagedata o:title=""/>
                <o:lock v:ext="edit" aspectratio="f"/>
              </v:line>
            </w:pict>
          </mc:Fallback>
        </mc:AlternateContent>
      </w:r>
    </w:p>
    <w:p w14:paraId="75BFF566">
      <w:pPr>
        <w:keepNext w:val="0"/>
        <w:keepLines w:val="0"/>
        <w:pageBreakBefore w:val="0"/>
        <w:widowControl/>
        <w:kinsoku/>
        <w:wordWrap/>
        <w:overflowPunct/>
        <w:topLinePunct w:val="0"/>
        <w:autoSpaceDE w:val="0"/>
        <w:autoSpaceDN w:val="0"/>
        <w:bidi w:val="0"/>
        <w:adjustRightInd w:val="0"/>
        <w:snapToGrid w:val="0"/>
        <w:spacing w:line="240" w:lineRule="auto"/>
        <w:ind w:left="-1" w:leftChars="-95" w:right="-512" w:rightChars="-244" w:hanging="198" w:hangingChars="45"/>
        <w:jc w:val="center"/>
        <w:textAlignment w:val="baseline"/>
        <w:rPr>
          <w:rFonts w:hint="eastAsia" w:ascii="方正小标宋简体" w:hAnsi="方正小标宋简体" w:eastAsia="方正小标宋简体" w:cs="方正小标宋简体"/>
          <w:b w:val="0"/>
          <w:bCs w:val="0"/>
          <w:spacing w:val="0"/>
          <w:sz w:val="44"/>
          <w:szCs w:val="44"/>
        </w:rPr>
      </w:pPr>
      <w:r>
        <w:rPr>
          <w:rFonts w:hint="eastAsia" w:ascii="方正小标宋简体" w:hAnsi="方正小标宋简体" w:eastAsia="方正小标宋简体" w:cs="方正小标宋简体"/>
          <w:b w:val="0"/>
          <w:bCs w:val="0"/>
          <w:spacing w:val="0"/>
          <w:sz w:val="44"/>
          <w:szCs w:val="44"/>
          <w:lang w:eastAsia="zh-CN"/>
        </w:rPr>
        <w:t>蓝山</w:t>
      </w:r>
      <w:r>
        <w:rPr>
          <w:rFonts w:hint="eastAsia" w:ascii="方正小标宋简体" w:hAnsi="方正小标宋简体" w:eastAsia="方正小标宋简体" w:cs="方正小标宋简体"/>
          <w:b w:val="0"/>
          <w:bCs w:val="0"/>
          <w:spacing w:val="0"/>
          <w:sz w:val="44"/>
          <w:szCs w:val="44"/>
        </w:rPr>
        <w:t>县住房和城乡建设局</w:t>
      </w:r>
      <w:r>
        <w:rPr>
          <w:rFonts w:hint="eastAsia" w:ascii="方正小标宋简体" w:hAnsi="方正小标宋简体" w:eastAsia="方正小标宋简体" w:cs="方正小标宋简体"/>
          <w:b w:val="0"/>
          <w:bCs w:val="0"/>
          <w:spacing w:val="0"/>
          <w:sz w:val="44"/>
          <w:szCs w:val="44"/>
          <w:lang w:val="en-US" w:eastAsia="zh-CN"/>
        </w:rPr>
        <w:t xml:space="preserve">  </w:t>
      </w:r>
      <w:r>
        <w:rPr>
          <w:rFonts w:hint="eastAsia" w:ascii="方正小标宋简体" w:hAnsi="方正小标宋简体" w:eastAsia="方正小标宋简体" w:cs="方正小标宋简体"/>
          <w:b w:val="0"/>
          <w:bCs w:val="0"/>
          <w:spacing w:val="0"/>
          <w:sz w:val="44"/>
          <w:szCs w:val="44"/>
          <w:lang w:eastAsia="zh-CN"/>
        </w:rPr>
        <w:t>蓝山</w:t>
      </w:r>
      <w:r>
        <w:rPr>
          <w:rFonts w:hint="eastAsia" w:ascii="方正小标宋简体" w:hAnsi="方正小标宋简体" w:eastAsia="方正小标宋简体" w:cs="方正小标宋简体"/>
          <w:b w:val="0"/>
          <w:bCs w:val="0"/>
          <w:spacing w:val="0"/>
          <w:sz w:val="44"/>
          <w:szCs w:val="44"/>
        </w:rPr>
        <w:t>县自然资源局</w:t>
      </w:r>
    </w:p>
    <w:p w14:paraId="5A3B07E4">
      <w:pPr>
        <w:keepNext w:val="0"/>
        <w:keepLines w:val="0"/>
        <w:pageBreakBefore w:val="0"/>
        <w:widowControl/>
        <w:kinsoku/>
        <w:wordWrap/>
        <w:overflowPunct/>
        <w:topLinePunct w:val="0"/>
        <w:autoSpaceDE w:val="0"/>
        <w:autoSpaceDN w:val="0"/>
        <w:bidi w:val="0"/>
        <w:adjustRightInd w:val="0"/>
        <w:snapToGrid w:val="0"/>
        <w:spacing w:line="240" w:lineRule="auto"/>
        <w:ind w:left="-1" w:leftChars="-95" w:right="-512" w:rightChars="-244" w:hanging="198" w:hangingChars="45"/>
        <w:jc w:val="center"/>
        <w:textAlignment w:val="baseline"/>
        <w:rPr>
          <w:rFonts w:hint="eastAsia" w:ascii="方正小标宋简体" w:hAnsi="方正小标宋简体" w:eastAsia="方正小标宋简体" w:cs="方正小标宋简体"/>
          <w:b w:val="0"/>
          <w:bCs w:val="0"/>
          <w:spacing w:val="0"/>
          <w:sz w:val="44"/>
          <w:szCs w:val="44"/>
        </w:rPr>
      </w:pPr>
      <w:r>
        <w:rPr>
          <w:rFonts w:hint="eastAsia" w:ascii="方正小标宋简体" w:hAnsi="方正小标宋简体" w:eastAsia="方正小标宋简体" w:cs="方正小标宋简体"/>
          <w:b w:val="0"/>
          <w:bCs w:val="0"/>
          <w:spacing w:val="0"/>
          <w:sz w:val="44"/>
          <w:szCs w:val="44"/>
          <w:lang w:eastAsia="zh-CN"/>
        </w:rPr>
        <w:t>蓝山</w:t>
      </w:r>
      <w:r>
        <w:rPr>
          <w:rFonts w:hint="eastAsia" w:ascii="方正小标宋简体" w:hAnsi="方正小标宋简体" w:eastAsia="方正小标宋简体" w:cs="方正小标宋简体"/>
          <w:b w:val="0"/>
          <w:bCs w:val="0"/>
          <w:spacing w:val="0"/>
          <w:sz w:val="44"/>
          <w:szCs w:val="44"/>
        </w:rPr>
        <w:t>县城市管理和综合执法局</w:t>
      </w:r>
      <w:r>
        <w:rPr>
          <w:rFonts w:hint="eastAsia" w:ascii="方正小标宋简体" w:hAnsi="方正小标宋简体" w:eastAsia="方正小标宋简体" w:cs="方正小标宋简体"/>
          <w:b w:val="0"/>
          <w:bCs w:val="0"/>
          <w:spacing w:val="0"/>
          <w:sz w:val="44"/>
          <w:szCs w:val="44"/>
          <w:lang w:val="en-US" w:eastAsia="zh-CN"/>
        </w:rPr>
        <w:t xml:space="preserve">  </w:t>
      </w:r>
      <w:r>
        <w:rPr>
          <w:rFonts w:hint="eastAsia" w:ascii="方正小标宋简体" w:hAnsi="方正小标宋简体" w:eastAsia="方正小标宋简体" w:cs="方正小标宋简体"/>
          <w:b w:val="0"/>
          <w:bCs w:val="0"/>
          <w:spacing w:val="0"/>
          <w:sz w:val="44"/>
          <w:szCs w:val="44"/>
          <w:lang w:eastAsia="zh-CN"/>
        </w:rPr>
        <w:t>蓝山</w:t>
      </w:r>
      <w:r>
        <w:rPr>
          <w:rFonts w:hint="eastAsia" w:ascii="方正小标宋简体" w:hAnsi="方正小标宋简体" w:eastAsia="方正小标宋简体" w:cs="方正小标宋简体"/>
          <w:b w:val="0"/>
          <w:bCs w:val="0"/>
          <w:spacing w:val="0"/>
          <w:sz w:val="44"/>
          <w:szCs w:val="44"/>
        </w:rPr>
        <w:t>县财政局</w:t>
      </w:r>
    </w:p>
    <w:p w14:paraId="59A92EE7">
      <w:pPr>
        <w:keepNext w:val="0"/>
        <w:keepLines w:val="0"/>
        <w:pageBreakBefore w:val="0"/>
        <w:widowControl/>
        <w:kinsoku/>
        <w:wordWrap/>
        <w:overflowPunct/>
        <w:topLinePunct w:val="0"/>
        <w:autoSpaceDE w:val="0"/>
        <w:autoSpaceDN w:val="0"/>
        <w:bidi w:val="0"/>
        <w:adjustRightInd w:val="0"/>
        <w:snapToGrid w:val="0"/>
        <w:spacing w:line="240" w:lineRule="auto"/>
        <w:ind w:left="-1" w:leftChars="-95" w:right="-512" w:rightChars="-244" w:hanging="198" w:hangingChars="45"/>
        <w:jc w:val="center"/>
        <w:textAlignment w:val="baseline"/>
        <w:rPr>
          <w:rFonts w:hint="eastAsia" w:ascii="方正小标宋简体" w:hAnsi="方正小标宋简体" w:eastAsia="方正小标宋简体" w:cs="方正小标宋简体"/>
          <w:b w:val="0"/>
          <w:bCs w:val="0"/>
          <w:spacing w:val="0"/>
          <w:sz w:val="44"/>
          <w:szCs w:val="44"/>
        </w:rPr>
      </w:pPr>
      <w:r>
        <w:rPr>
          <w:rFonts w:hint="eastAsia" w:ascii="方正小标宋简体" w:hAnsi="方正小标宋简体" w:eastAsia="方正小标宋简体" w:cs="方正小标宋简体"/>
          <w:b w:val="0"/>
          <w:bCs w:val="0"/>
          <w:spacing w:val="0"/>
          <w:sz w:val="44"/>
          <w:szCs w:val="44"/>
          <w:lang w:eastAsia="zh-CN"/>
        </w:rPr>
        <w:t>蓝山</w:t>
      </w:r>
      <w:r>
        <w:rPr>
          <w:rFonts w:hint="eastAsia" w:ascii="方正小标宋简体" w:hAnsi="方正小标宋简体" w:eastAsia="方正小标宋简体" w:cs="方正小标宋简体"/>
          <w:b w:val="0"/>
          <w:bCs w:val="0"/>
          <w:spacing w:val="0"/>
          <w:sz w:val="44"/>
          <w:szCs w:val="44"/>
        </w:rPr>
        <w:t>县司法局</w:t>
      </w:r>
      <w:r>
        <w:rPr>
          <w:rFonts w:hint="eastAsia" w:ascii="方正小标宋简体" w:hAnsi="方正小标宋简体" w:eastAsia="方正小标宋简体" w:cs="方正小标宋简体"/>
          <w:b w:val="0"/>
          <w:bCs w:val="0"/>
          <w:spacing w:val="0"/>
          <w:sz w:val="44"/>
          <w:szCs w:val="44"/>
          <w:lang w:val="en-US" w:eastAsia="zh-CN"/>
        </w:rPr>
        <w:t xml:space="preserve">  </w:t>
      </w:r>
      <w:r>
        <w:rPr>
          <w:rFonts w:hint="eastAsia" w:ascii="方正小标宋简体" w:hAnsi="方正小标宋简体" w:eastAsia="方正小标宋简体" w:cs="方正小标宋简体"/>
          <w:b w:val="0"/>
          <w:bCs w:val="0"/>
          <w:spacing w:val="0"/>
          <w:sz w:val="44"/>
          <w:szCs w:val="44"/>
        </w:rPr>
        <w:t>国家税务总局</w:t>
      </w:r>
      <w:r>
        <w:rPr>
          <w:rFonts w:hint="eastAsia" w:ascii="方正小标宋简体" w:hAnsi="方正小标宋简体" w:eastAsia="方正小标宋简体" w:cs="方正小标宋简体"/>
          <w:b w:val="0"/>
          <w:bCs w:val="0"/>
          <w:spacing w:val="0"/>
          <w:sz w:val="44"/>
          <w:szCs w:val="44"/>
          <w:lang w:eastAsia="zh-CN"/>
        </w:rPr>
        <w:t>蓝山</w:t>
      </w:r>
      <w:r>
        <w:rPr>
          <w:rFonts w:hint="eastAsia" w:ascii="方正小标宋简体" w:hAnsi="方正小标宋简体" w:eastAsia="方正小标宋简体" w:cs="方正小标宋简体"/>
          <w:b w:val="0"/>
          <w:bCs w:val="0"/>
          <w:spacing w:val="0"/>
          <w:sz w:val="44"/>
          <w:szCs w:val="44"/>
        </w:rPr>
        <w:t>县税务局</w:t>
      </w:r>
    </w:p>
    <w:p w14:paraId="3D6CABF1">
      <w:pPr>
        <w:keepNext w:val="0"/>
        <w:keepLines w:val="0"/>
        <w:pageBreakBefore w:val="0"/>
        <w:widowControl/>
        <w:kinsoku/>
        <w:wordWrap/>
        <w:overflowPunct/>
        <w:topLinePunct w:val="0"/>
        <w:autoSpaceDE w:val="0"/>
        <w:autoSpaceDN w:val="0"/>
        <w:bidi w:val="0"/>
        <w:adjustRightInd w:val="0"/>
        <w:snapToGrid w:val="0"/>
        <w:spacing w:line="240" w:lineRule="auto"/>
        <w:ind w:left="-1" w:leftChars="-95" w:right="-512" w:rightChars="-244" w:hanging="198" w:hangingChars="45"/>
        <w:jc w:val="center"/>
        <w:textAlignment w:val="baseline"/>
        <w:rPr>
          <w:rFonts w:hint="eastAsia" w:ascii="方正小标宋简体" w:hAnsi="方正小标宋简体" w:eastAsia="方正小标宋简体" w:cs="方正小标宋简体"/>
          <w:b w:val="0"/>
          <w:bCs w:val="0"/>
          <w:spacing w:val="0"/>
          <w:sz w:val="44"/>
          <w:szCs w:val="44"/>
        </w:rPr>
      </w:pPr>
      <w:r>
        <w:rPr>
          <w:rFonts w:hint="eastAsia" w:ascii="方正小标宋简体" w:hAnsi="方正小标宋简体" w:eastAsia="方正小标宋简体" w:cs="方正小标宋简体"/>
          <w:b w:val="0"/>
          <w:bCs w:val="0"/>
          <w:spacing w:val="0"/>
          <w:sz w:val="44"/>
          <w:szCs w:val="44"/>
        </w:rPr>
        <w:t>关于印发规范房地产市场工作机制的通知</w:t>
      </w:r>
    </w:p>
    <w:p w14:paraId="250DDA7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w:t>
      </w:r>
      <w:r>
        <w:rPr>
          <w:rFonts w:hint="eastAsia" w:ascii="宋体" w:hAnsi="宋体" w:eastAsia="宋体" w:cs="宋体"/>
          <w:b/>
          <w:bCs/>
          <w:sz w:val="44"/>
          <w:szCs w:val="44"/>
          <w:lang w:val="en-US" w:eastAsia="zh-CN"/>
        </w:rPr>
        <w:t>征求意见稿</w:t>
      </w:r>
      <w:r>
        <w:rPr>
          <w:rFonts w:hint="eastAsia" w:ascii="方正小标宋简体" w:hAnsi="方正小标宋简体" w:eastAsia="方正小标宋简体" w:cs="方正小标宋简体"/>
          <w:b/>
          <w:bCs/>
          <w:sz w:val="44"/>
          <w:szCs w:val="44"/>
          <w:lang w:val="en-US" w:eastAsia="zh-CN"/>
        </w:rPr>
        <w:t>）</w:t>
      </w:r>
    </w:p>
    <w:p w14:paraId="30FC384D">
      <w:pPr>
        <w:pStyle w:val="3"/>
        <w:keepNext w:val="0"/>
        <w:keepLines w:val="0"/>
        <w:pageBreakBefore w:val="0"/>
        <w:widowControl/>
        <w:kinsoku/>
        <w:wordWrap/>
        <w:overflowPunct/>
        <w:topLinePunct w:val="0"/>
        <w:autoSpaceDE w:val="0"/>
        <w:autoSpaceDN w:val="0"/>
        <w:bidi w:val="0"/>
        <w:adjustRightInd w:val="0"/>
        <w:snapToGrid w:val="0"/>
        <w:spacing w:line="560" w:lineRule="exact"/>
        <w:ind w:left="0" w:right="0"/>
        <w:textAlignment w:val="baseline"/>
        <w:rPr>
          <w:rFonts w:hint="eastAsia" w:ascii="仿宋_GB2312" w:hAnsi="仿宋_GB2312" w:eastAsia="仿宋_GB2312" w:cs="仿宋_GB2312"/>
          <w:spacing w:val="3"/>
          <w:sz w:val="32"/>
          <w:szCs w:val="32"/>
        </w:rPr>
      </w:pPr>
    </w:p>
    <w:p w14:paraId="3800CFA6">
      <w:pPr>
        <w:pStyle w:val="3"/>
        <w:keepNext w:val="0"/>
        <w:keepLines w:val="0"/>
        <w:pageBreakBefore w:val="0"/>
        <w:widowControl/>
        <w:kinsoku/>
        <w:wordWrap/>
        <w:overflowPunct/>
        <w:topLinePunct w:val="0"/>
        <w:autoSpaceDE w:val="0"/>
        <w:autoSpaceDN w:val="0"/>
        <w:bidi w:val="0"/>
        <w:adjustRightInd w:val="0"/>
        <w:snapToGrid w:val="0"/>
        <w:spacing w:line="560" w:lineRule="exact"/>
        <w:ind w:left="0" w:right="0"/>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3"/>
          <w:sz w:val="32"/>
          <w:szCs w:val="32"/>
        </w:rPr>
        <w:t>各乡镇、县直和中央、省市驻</w:t>
      </w:r>
      <w:r>
        <w:rPr>
          <w:rFonts w:hint="eastAsia" w:ascii="仿宋_GB2312" w:hAnsi="仿宋_GB2312" w:eastAsia="仿宋_GB2312" w:cs="仿宋_GB2312"/>
          <w:b w:val="0"/>
          <w:bCs w:val="0"/>
          <w:spacing w:val="3"/>
          <w:sz w:val="32"/>
          <w:szCs w:val="32"/>
          <w:lang w:val="en-US" w:eastAsia="zh-CN"/>
        </w:rPr>
        <w:t>蓝</w:t>
      </w:r>
      <w:r>
        <w:rPr>
          <w:rFonts w:hint="eastAsia" w:ascii="仿宋_GB2312" w:hAnsi="仿宋_GB2312" w:eastAsia="仿宋_GB2312" w:cs="仿宋_GB2312"/>
          <w:b w:val="0"/>
          <w:bCs w:val="0"/>
          <w:spacing w:val="3"/>
          <w:sz w:val="32"/>
          <w:szCs w:val="32"/>
        </w:rPr>
        <w:t>各单位：</w:t>
      </w:r>
    </w:p>
    <w:p w14:paraId="7883FC82">
      <w:pPr>
        <w:pStyle w:val="3"/>
        <w:keepNext w:val="0"/>
        <w:keepLines w:val="0"/>
        <w:pageBreakBefore w:val="0"/>
        <w:widowControl/>
        <w:kinsoku/>
        <w:wordWrap/>
        <w:overflowPunct/>
        <w:topLinePunct w:val="0"/>
        <w:autoSpaceDE w:val="0"/>
        <w:autoSpaceDN w:val="0"/>
        <w:bidi w:val="0"/>
        <w:adjustRightInd w:val="0"/>
        <w:snapToGrid w:val="0"/>
        <w:spacing w:line="560" w:lineRule="exact"/>
        <w:ind w:left="0" w:right="0" w:firstLine="59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为进一步规范房地产市场各方主体行为，切实维护住房消费者合法权益，营造良好发展环境，现将关于规范</w:t>
      </w:r>
      <w:r>
        <w:rPr>
          <w:rFonts w:hint="eastAsia" w:ascii="仿宋_GB2312" w:hAnsi="仿宋_GB2312" w:eastAsia="仿宋_GB2312" w:cs="仿宋_GB2312"/>
          <w:spacing w:val="1"/>
          <w:sz w:val="32"/>
          <w:szCs w:val="32"/>
        </w:rPr>
        <w:t>土地使用权出让</w:t>
      </w:r>
      <w:r>
        <w:rPr>
          <w:rFonts w:hint="eastAsia" w:ascii="仿宋_GB2312" w:hAnsi="仿宋_GB2312" w:eastAsia="仿宋_GB2312" w:cs="仿宋_GB2312"/>
          <w:spacing w:val="-8"/>
          <w:sz w:val="32"/>
          <w:szCs w:val="32"/>
        </w:rPr>
        <w:t>金征缴、房地产项目建设全过程监管、房地产领域违建行为执法</w:t>
      </w:r>
      <w:r>
        <w:rPr>
          <w:rFonts w:hint="eastAsia" w:ascii="仿宋_GB2312" w:hAnsi="仿宋_GB2312" w:eastAsia="仿宋_GB2312" w:cs="仿宋_GB2312"/>
          <w:spacing w:val="-6"/>
          <w:sz w:val="32"/>
          <w:szCs w:val="32"/>
        </w:rPr>
        <w:t>处罚等相关机制流程，印发给你们，请认真贯彻执行。</w:t>
      </w:r>
    </w:p>
    <w:p w14:paraId="137D0A75">
      <w:pPr>
        <w:keepNext w:val="0"/>
        <w:keepLines w:val="0"/>
        <w:pageBreakBefore w:val="0"/>
        <w:widowControl/>
        <w:kinsoku/>
        <w:wordWrap/>
        <w:overflowPunct/>
        <w:topLinePunct w:val="0"/>
        <w:autoSpaceDE w:val="0"/>
        <w:autoSpaceDN w:val="0"/>
        <w:bidi w:val="0"/>
        <w:adjustRightInd w:val="0"/>
        <w:snapToGrid w:val="0"/>
        <w:spacing w:line="560" w:lineRule="atLeast"/>
        <w:textAlignment w:val="baseline"/>
        <w:rPr>
          <w:rFonts w:hint="eastAsia" w:ascii="仿宋_GB2312" w:hAnsi="仿宋_GB2312" w:eastAsia="仿宋_GB2312" w:cs="仿宋_GB2312"/>
          <w:sz w:val="32"/>
          <w:szCs w:val="32"/>
        </w:rPr>
      </w:pPr>
    </w:p>
    <w:p w14:paraId="5F5E5BCE">
      <w:pPr>
        <w:pStyle w:val="3"/>
        <w:keepNext w:val="0"/>
        <w:keepLines w:val="0"/>
        <w:pageBreakBefore w:val="0"/>
        <w:widowControl/>
        <w:kinsoku/>
        <w:wordWrap/>
        <w:overflowPunct/>
        <w:topLinePunct w:val="0"/>
        <w:autoSpaceDE w:val="0"/>
        <w:autoSpaceDN w:val="0"/>
        <w:bidi w:val="0"/>
        <w:adjustRightInd w:val="0"/>
        <w:snapToGrid w:val="0"/>
        <w:spacing w:before="94" w:line="560" w:lineRule="atLeas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附件：《关于规范土地使用权出让金征缴工作的机制流</w:t>
      </w:r>
      <w:r>
        <w:rPr>
          <w:rFonts w:hint="eastAsia" w:ascii="仿宋_GB2312" w:hAnsi="仿宋_GB2312" w:eastAsia="仿宋_GB2312" w:cs="仿宋_GB2312"/>
          <w:spacing w:val="-3"/>
          <w:sz w:val="32"/>
          <w:szCs w:val="32"/>
        </w:rPr>
        <w:t>程》</w:t>
      </w:r>
    </w:p>
    <w:p w14:paraId="60EA60E9">
      <w:pPr>
        <w:pStyle w:val="3"/>
        <w:keepNext w:val="0"/>
        <w:keepLines w:val="0"/>
        <w:pageBreakBefore w:val="0"/>
        <w:widowControl/>
        <w:kinsoku/>
        <w:wordWrap/>
        <w:overflowPunct/>
        <w:topLinePunct w:val="0"/>
        <w:autoSpaceDE w:val="0"/>
        <w:autoSpaceDN w:val="0"/>
        <w:bidi w:val="0"/>
        <w:adjustRightInd w:val="0"/>
        <w:snapToGrid w:val="0"/>
        <w:spacing w:before="175" w:line="560" w:lineRule="atLeast"/>
        <w:ind w:firstLine="1002" w:firstLineChars="3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《关于加强</w:t>
      </w:r>
      <w:r>
        <w:rPr>
          <w:rFonts w:hint="eastAsia" w:ascii="仿宋_GB2312" w:hAnsi="仿宋_GB2312" w:eastAsia="仿宋_GB2312" w:cs="仿宋_GB2312"/>
          <w:spacing w:val="7"/>
          <w:sz w:val="32"/>
          <w:szCs w:val="32"/>
          <w:lang w:eastAsia="zh-CN"/>
        </w:rPr>
        <w:t>蓝山</w:t>
      </w:r>
      <w:r>
        <w:rPr>
          <w:rFonts w:hint="eastAsia" w:ascii="仿宋_GB2312" w:hAnsi="仿宋_GB2312" w:eastAsia="仿宋_GB2312" w:cs="仿宋_GB2312"/>
          <w:spacing w:val="7"/>
          <w:sz w:val="32"/>
          <w:szCs w:val="32"/>
        </w:rPr>
        <w:t>县房地产项目监督管理机制流程》</w:t>
      </w:r>
    </w:p>
    <w:p w14:paraId="7702ABA3">
      <w:pPr>
        <w:pStyle w:val="3"/>
        <w:keepNext w:val="0"/>
        <w:keepLines w:val="0"/>
        <w:pageBreakBefore w:val="0"/>
        <w:widowControl/>
        <w:kinsoku/>
        <w:wordWrap/>
        <w:overflowPunct/>
        <w:topLinePunct w:val="0"/>
        <w:autoSpaceDE w:val="0"/>
        <w:autoSpaceDN w:val="0"/>
        <w:bidi w:val="0"/>
        <w:adjustRightInd w:val="0"/>
        <w:snapToGrid w:val="0"/>
        <w:spacing w:before="170" w:line="560" w:lineRule="atLeast"/>
        <w:ind w:firstLine="1002" w:firstLineChars="3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《关于房地产领域违建行为执法处罚机制流程》</w:t>
      </w:r>
    </w:p>
    <w:p w14:paraId="2FBCE0E8">
      <w:pPr>
        <w:keepNext w:val="0"/>
        <w:keepLines w:val="0"/>
        <w:pageBreakBefore w:val="0"/>
        <w:widowControl/>
        <w:kinsoku/>
        <w:wordWrap/>
        <w:overflowPunct/>
        <w:topLinePunct w:val="0"/>
        <w:autoSpaceDE w:val="0"/>
        <w:autoSpaceDN w:val="0"/>
        <w:bidi w:val="0"/>
        <w:adjustRightInd w:val="0"/>
        <w:snapToGrid w:val="0"/>
        <w:spacing w:line="560" w:lineRule="atLeast"/>
        <w:textAlignment w:val="baseline"/>
        <w:rPr>
          <w:rFonts w:hint="eastAsia" w:ascii="仿宋_GB2312" w:hAnsi="仿宋_GB2312" w:eastAsia="仿宋_GB2312" w:cs="仿宋_GB2312"/>
          <w:sz w:val="32"/>
          <w:szCs w:val="32"/>
        </w:rPr>
      </w:pPr>
    </w:p>
    <w:p w14:paraId="629C71A7">
      <w:pPr>
        <w:pStyle w:val="3"/>
        <w:keepNext w:val="0"/>
        <w:keepLines w:val="0"/>
        <w:pageBreakBefore w:val="0"/>
        <w:widowControl/>
        <w:kinsoku/>
        <w:wordWrap/>
        <w:overflowPunct/>
        <w:topLinePunct w:val="0"/>
        <w:autoSpaceDE w:val="0"/>
        <w:autoSpaceDN w:val="0"/>
        <w:bidi w:val="0"/>
        <w:adjustRightInd w:val="0"/>
        <w:snapToGrid w:val="0"/>
        <w:spacing w:before="170" w:line="560" w:lineRule="atLeast"/>
        <w:jc w:val="both"/>
        <w:textAlignment w:val="baseline"/>
        <w:rPr>
          <w:rFonts w:hint="eastAsia" w:ascii="仿宋_GB2312" w:hAnsi="仿宋_GB2312" w:eastAsia="仿宋_GB2312" w:cs="仿宋_GB2312"/>
          <w:spacing w:val="7"/>
          <w:sz w:val="32"/>
          <w:szCs w:val="32"/>
        </w:rPr>
      </w:pPr>
      <w:r>
        <w:rPr>
          <w:rFonts w:hint="eastAsia" w:ascii="仿宋_GB2312" w:hAnsi="仿宋_GB2312" w:eastAsia="仿宋_GB2312" w:cs="仿宋_GB2312"/>
          <w:spacing w:val="7"/>
          <w:sz w:val="32"/>
          <w:szCs w:val="32"/>
          <w:lang w:eastAsia="zh-CN"/>
        </w:rPr>
        <w:t>蓝山</w:t>
      </w:r>
      <w:r>
        <w:rPr>
          <w:rFonts w:hint="eastAsia" w:ascii="仿宋_GB2312" w:hAnsi="仿宋_GB2312" w:eastAsia="仿宋_GB2312" w:cs="仿宋_GB2312"/>
          <w:spacing w:val="7"/>
          <w:sz w:val="32"/>
          <w:szCs w:val="32"/>
        </w:rPr>
        <w:t>县住房和城乡建设局</w:t>
      </w:r>
      <w:r>
        <w:rPr>
          <w:rFonts w:hint="eastAsia" w:ascii="仿宋_GB2312" w:hAnsi="仿宋_GB2312" w:eastAsia="仿宋_GB2312" w:cs="仿宋_GB2312"/>
          <w:spacing w:val="7"/>
          <w:sz w:val="32"/>
          <w:szCs w:val="32"/>
          <w:lang w:val="en-US" w:eastAsia="zh-CN"/>
        </w:rPr>
        <w:t xml:space="preserve">       </w:t>
      </w:r>
      <w:r>
        <w:rPr>
          <w:rFonts w:hint="eastAsia" w:ascii="仿宋_GB2312" w:hAnsi="仿宋_GB2312" w:eastAsia="仿宋_GB2312" w:cs="仿宋_GB2312"/>
          <w:spacing w:val="7"/>
          <w:sz w:val="32"/>
          <w:szCs w:val="32"/>
          <w:lang w:eastAsia="zh-CN"/>
        </w:rPr>
        <w:t>蓝山</w:t>
      </w:r>
      <w:r>
        <w:rPr>
          <w:rFonts w:hint="eastAsia" w:ascii="仿宋_GB2312" w:hAnsi="仿宋_GB2312" w:eastAsia="仿宋_GB2312" w:cs="仿宋_GB2312"/>
          <w:spacing w:val="7"/>
          <w:sz w:val="32"/>
          <w:szCs w:val="32"/>
        </w:rPr>
        <w:t>县自然资源局</w:t>
      </w:r>
    </w:p>
    <w:p w14:paraId="305E51B0">
      <w:pPr>
        <w:pStyle w:val="3"/>
        <w:keepNext w:val="0"/>
        <w:keepLines w:val="0"/>
        <w:pageBreakBefore w:val="0"/>
        <w:widowControl/>
        <w:kinsoku/>
        <w:wordWrap/>
        <w:overflowPunct/>
        <w:topLinePunct w:val="0"/>
        <w:autoSpaceDE w:val="0"/>
        <w:autoSpaceDN w:val="0"/>
        <w:bidi w:val="0"/>
        <w:adjustRightInd w:val="0"/>
        <w:snapToGrid w:val="0"/>
        <w:spacing w:before="170" w:line="560" w:lineRule="atLeast"/>
        <w:jc w:val="center"/>
        <w:textAlignment w:val="baseline"/>
        <w:rPr>
          <w:rFonts w:hint="eastAsia" w:ascii="仿宋_GB2312" w:hAnsi="仿宋_GB2312" w:eastAsia="仿宋_GB2312" w:cs="仿宋_GB2312"/>
          <w:spacing w:val="7"/>
          <w:sz w:val="32"/>
          <w:szCs w:val="32"/>
        </w:rPr>
      </w:pPr>
    </w:p>
    <w:p w14:paraId="070F96AF">
      <w:pPr>
        <w:pStyle w:val="3"/>
        <w:keepNext w:val="0"/>
        <w:keepLines w:val="0"/>
        <w:pageBreakBefore w:val="0"/>
        <w:widowControl/>
        <w:kinsoku/>
        <w:wordWrap/>
        <w:overflowPunct/>
        <w:topLinePunct w:val="0"/>
        <w:autoSpaceDE w:val="0"/>
        <w:autoSpaceDN w:val="0"/>
        <w:bidi w:val="0"/>
        <w:adjustRightInd w:val="0"/>
        <w:snapToGrid w:val="0"/>
        <w:spacing w:before="170" w:line="560" w:lineRule="atLeast"/>
        <w:jc w:val="both"/>
        <w:textAlignment w:val="baseline"/>
        <w:rPr>
          <w:rFonts w:hint="eastAsia" w:ascii="仿宋_GB2312" w:hAnsi="仿宋_GB2312" w:eastAsia="仿宋_GB2312" w:cs="仿宋_GB2312"/>
          <w:spacing w:val="7"/>
          <w:sz w:val="32"/>
          <w:szCs w:val="32"/>
        </w:rPr>
      </w:pPr>
      <w:r>
        <w:rPr>
          <w:rFonts w:hint="eastAsia" w:ascii="仿宋_GB2312" w:hAnsi="仿宋_GB2312" w:eastAsia="仿宋_GB2312" w:cs="仿宋_GB2312"/>
          <w:spacing w:val="7"/>
          <w:sz w:val="32"/>
          <w:szCs w:val="32"/>
          <w:lang w:eastAsia="zh-CN"/>
        </w:rPr>
        <w:t>蓝山</w:t>
      </w:r>
      <w:r>
        <w:rPr>
          <w:rFonts w:hint="eastAsia" w:ascii="仿宋_GB2312" w:hAnsi="仿宋_GB2312" w:eastAsia="仿宋_GB2312" w:cs="仿宋_GB2312"/>
          <w:spacing w:val="7"/>
          <w:sz w:val="32"/>
          <w:szCs w:val="32"/>
        </w:rPr>
        <w:t>县城管理和综合执法局</w:t>
      </w:r>
      <w:r>
        <w:rPr>
          <w:rFonts w:hint="eastAsia" w:ascii="仿宋_GB2312" w:hAnsi="仿宋_GB2312" w:eastAsia="仿宋_GB2312" w:cs="仿宋_GB2312"/>
          <w:spacing w:val="7"/>
          <w:sz w:val="32"/>
          <w:szCs w:val="32"/>
          <w:lang w:val="en-US" w:eastAsia="zh-CN"/>
        </w:rPr>
        <w:t xml:space="preserve">      </w:t>
      </w:r>
      <w:r>
        <w:rPr>
          <w:rFonts w:hint="eastAsia" w:ascii="仿宋_GB2312" w:hAnsi="仿宋_GB2312" w:eastAsia="仿宋_GB2312" w:cs="仿宋_GB2312"/>
          <w:spacing w:val="7"/>
          <w:sz w:val="32"/>
          <w:szCs w:val="32"/>
          <w:lang w:eastAsia="zh-CN"/>
        </w:rPr>
        <w:t>蓝山</w:t>
      </w:r>
      <w:r>
        <w:rPr>
          <w:rFonts w:hint="eastAsia" w:ascii="仿宋_GB2312" w:hAnsi="仿宋_GB2312" w:eastAsia="仿宋_GB2312" w:cs="仿宋_GB2312"/>
          <w:spacing w:val="7"/>
          <w:sz w:val="32"/>
          <w:szCs w:val="32"/>
        </w:rPr>
        <w:t>县财政局</w:t>
      </w:r>
    </w:p>
    <w:p w14:paraId="5D3DE24F">
      <w:pPr>
        <w:pStyle w:val="3"/>
        <w:keepNext w:val="0"/>
        <w:keepLines w:val="0"/>
        <w:pageBreakBefore w:val="0"/>
        <w:widowControl/>
        <w:kinsoku/>
        <w:wordWrap/>
        <w:overflowPunct/>
        <w:topLinePunct w:val="0"/>
        <w:autoSpaceDE w:val="0"/>
        <w:autoSpaceDN w:val="0"/>
        <w:bidi w:val="0"/>
        <w:adjustRightInd w:val="0"/>
        <w:snapToGrid w:val="0"/>
        <w:spacing w:before="170" w:line="560" w:lineRule="atLeast"/>
        <w:jc w:val="center"/>
        <w:textAlignment w:val="baseline"/>
        <w:rPr>
          <w:rFonts w:hint="eastAsia" w:ascii="仿宋_GB2312" w:hAnsi="仿宋_GB2312" w:eastAsia="仿宋_GB2312" w:cs="仿宋_GB2312"/>
          <w:spacing w:val="7"/>
          <w:sz w:val="32"/>
          <w:szCs w:val="32"/>
        </w:rPr>
      </w:pPr>
    </w:p>
    <w:p w14:paraId="34B02F4A">
      <w:pPr>
        <w:pStyle w:val="3"/>
        <w:keepNext w:val="0"/>
        <w:keepLines w:val="0"/>
        <w:pageBreakBefore w:val="0"/>
        <w:widowControl/>
        <w:kinsoku/>
        <w:wordWrap/>
        <w:overflowPunct/>
        <w:topLinePunct w:val="0"/>
        <w:autoSpaceDE w:val="0"/>
        <w:autoSpaceDN w:val="0"/>
        <w:bidi w:val="0"/>
        <w:adjustRightInd w:val="0"/>
        <w:snapToGrid w:val="0"/>
        <w:spacing w:before="170" w:line="560" w:lineRule="atLeast"/>
        <w:jc w:val="both"/>
        <w:textAlignment w:val="baseline"/>
        <w:rPr>
          <w:rFonts w:hint="eastAsia" w:ascii="仿宋_GB2312" w:hAnsi="仿宋_GB2312" w:eastAsia="仿宋_GB2312" w:cs="仿宋_GB2312"/>
          <w:spacing w:val="7"/>
          <w:sz w:val="32"/>
          <w:szCs w:val="32"/>
        </w:rPr>
      </w:pPr>
      <w:r>
        <w:rPr>
          <w:rFonts w:hint="eastAsia" w:ascii="仿宋_GB2312" w:hAnsi="仿宋_GB2312" w:eastAsia="仿宋_GB2312" w:cs="仿宋_GB2312"/>
          <w:spacing w:val="7"/>
          <w:sz w:val="32"/>
          <w:szCs w:val="32"/>
          <w:lang w:eastAsia="zh-CN"/>
        </w:rPr>
        <w:t>蓝山</w:t>
      </w:r>
      <w:r>
        <w:rPr>
          <w:rFonts w:hint="eastAsia" w:ascii="仿宋_GB2312" w:hAnsi="仿宋_GB2312" w:eastAsia="仿宋_GB2312" w:cs="仿宋_GB2312"/>
          <w:spacing w:val="7"/>
          <w:sz w:val="32"/>
          <w:szCs w:val="32"/>
        </w:rPr>
        <w:t>县司法局</w:t>
      </w:r>
      <w:r>
        <w:rPr>
          <w:rFonts w:hint="eastAsia" w:ascii="仿宋_GB2312" w:hAnsi="仿宋_GB2312" w:eastAsia="仿宋_GB2312" w:cs="仿宋_GB2312"/>
          <w:spacing w:val="7"/>
          <w:sz w:val="32"/>
          <w:szCs w:val="32"/>
          <w:lang w:val="en-US" w:eastAsia="zh-CN"/>
        </w:rPr>
        <w:t xml:space="preserve">           </w:t>
      </w:r>
      <w:r>
        <w:rPr>
          <w:rFonts w:hint="eastAsia" w:ascii="仿宋_GB2312" w:hAnsi="仿宋_GB2312" w:eastAsia="仿宋_GB2312" w:cs="仿宋_GB2312"/>
          <w:spacing w:val="7"/>
          <w:sz w:val="32"/>
          <w:szCs w:val="32"/>
        </w:rPr>
        <w:t>国家税务总局</w:t>
      </w:r>
      <w:r>
        <w:rPr>
          <w:rFonts w:hint="eastAsia" w:ascii="仿宋_GB2312" w:hAnsi="仿宋_GB2312" w:eastAsia="仿宋_GB2312" w:cs="仿宋_GB2312"/>
          <w:spacing w:val="7"/>
          <w:sz w:val="32"/>
          <w:szCs w:val="32"/>
          <w:lang w:eastAsia="zh-CN"/>
        </w:rPr>
        <w:t>蓝山</w:t>
      </w:r>
      <w:r>
        <w:rPr>
          <w:rFonts w:hint="eastAsia" w:ascii="仿宋_GB2312" w:hAnsi="仿宋_GB2312" w:eastAsia="仿宋_GB2312" w:cs="仿宋_GB2312"/>
          <w:spacing w:val="7"/>
          <w:sz w:val="32"/>
          <w:szCs w:val="32"/>
        </w:rPr>
        <w:t>县税务局</w:t>
      </w:r>
    </w:p>
    <w:p w14:paraId="4B3839DB">
      <w:pPr>
        <w:pStyle w:val="3"/>
        <w:keepNext w:val="0"/>
        <w:keepLines w:val="0"/>
        <w:pageBreakBefore w:val="0"/>
        <w:widowControl/>
        <w:kinsoku/>
        <w:wordWrap/>
        <w:overflowPunct/>
        <w:topLinePunct w:val="0"/>
        <w:autoSpaceDE w:val="0"/>
        <w:autoSpaceDN w:val="0"/>
        <w:bidi w:val="0"/>
        <w:adjustRightInd w:val="0"/>
        <w:snapToGrid w:val="0"/>
        <w:spacing w:before="92" w:line="560" w:lineRule="atLeast"/>
        <w:ind w:left="5640"/>
        <w:textAlignment w:val="baseline"/>
        <w:rPr>
          <w:rFonts w:hint="eastAsia" w:ascii="仿宋_GB2312" w:hAnsi="仿宋_GB2312" w:eastAsia="仿宋_GB2312" w:cs="仿宋_GB2312"/>
          <w:spacing w:val="6"/>
          <w:sz w:val="32"/>
          <w:szCs w:val="32"/>
        </w:rPr>
      </w:pPr>
    </w:p>
    <w:p w14:paraId="502373A9">
      <w:pPr>
        <w:pStyle w:val="3"/>
        <w:keepNext w:val="0"/>
        <w:keepLines w:val="0"/>
        <w:pageBreakBefore w:val="0"/>
        <w:widowControl/>
        <w:kinsoku/>
        <w:wordWrap/>
        <w:overflowPunct/>
        <w:topLinePunct w:val="0"/>
        <w:autoSpaceDE w:val="0"/>
        <w:autoSpaceDN w:val="0"/>
        <w:bidi w:val="0"/>
        <w:adjustRightInd w:val="0"/>
        <w:snapToGrid w:val="0"/>
        <w:spacing w:before="92" w:line="560" w:lineRule="atLeast"/>
        <w:ind w:left="564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202</w:t>
      </w:r>
      <w:r>
        <w:rPr>
          <w:rFonts w:hint="eastAsia" w:ascii="仿宋_GB2312" w:hAnsi="仿宋_GB2312" w:eastAsia="仿宋_GB2312" w:cs="仿宋_GB2312"/>
          <w:spacing w:val="6"/>
          <w:sz w:val="32"/>
          <w:szCs w:val="32"/>
          <w:lang w:val="en-US" w:eastAsia="zh-CN"/>
        </w:rPr>
        <w:t>6</w:t>
      </w:r>
      <w:r>
        <w:rPr>
          <w:rFonts w:hint="eastAsia" w:ascii="仿宋_GB2312" w:hAnsi="仿宋_GB2312" w:eastAsia="仿宋_GB2312" w:cs="仿宋_GB2312"/>
          <w:spacing w:val="6"/>
          <w:sz w:val="32"/>
          <w:szCs w:val="32"/>
        </w:rPr>
        <w:t>年</w:t>
      </w:r>
      <w:r>
        <w:rPr>
          <w:rFonts w:hint="eastAsia" w:ascii="仿宋_GB2312" w:hAnsi="仿宋_GB2312" w:eastAsia="仿宋_GB2312" w:cs="仿宋_GB2312"/>
          <w:spacing w:val="6"/>
          <w:sz w:val="32"/>
          <w:szCs w:val="32"/>
          <w:lang w:val="en-US" w:eastAsia="zh-CN"/>
        </w:rPr>
        <w:t>xx</w:t>
      </w:r>
      <w:r>
        <w:rPr>
          <w:rFonts w:hint="eastAsia" w:ascii="仿宋_GB2312" w:hAnsi="仿宋_GB2312" w:eastAsia="仿宋_GB2312" w:cs="仿宋_GB2312"/>
          <w:spacing w:val="6"/>
          <w:sz w:val="32"/>
          <w:szCs w:val="32"/>
        </w:rPr>
        <w:t>月</w:t>
      </w:r>
      <w:r>
        <w:rPr>
          <w:rFonts w:hint="eastAsia" w:ascii="仿宋_GB2312" w:hAnsi="仿宋_GB2312" w:eastAsia="仿宋_GB2312" w:cs="仿宋_GB2312"/>
          <w:spacing w:val="6"/>
          <w:sz w:val="32"/>
          <w:szCs w:val="32"/>
          <w:lang w:val="en-US" w:eastAsia="zh-CN"/>
        </w:rPr>
        <w:t>xx</w:t>
      </w:r>
      <w:r>
        <w:rPr>
          <w:rFonts w:hint="eastAsia" w:ascii="仿宋_GB2312" w:hAnsi="仿宋_GB2312" w:eastAsia="仿宋_GB2312" w:cs="仿宋_GB2312"/>
          <w:spacing w:val="6"/>
          <w:sz w:val="32"/>
          <w:szCs w:val="32"/>
        </w:rPr>
        <w:t>日</w:t>
      </w:r>
    </w:p>
    <w:p w14:paraId="78A670DF">
      <w:pPr>
        <w:rPr>
          <w:rFonts w:hint="eastAsia"/>
          <w:b/>
          <w:bCs/>
          <w:sz w:val="36"/>
          <w:szCs w:val="36"/>
          <w:lang w:val="en-US" w:eastAsia="zh-CN"/>
        </w:rPr>
      </w:pPr>
      <w:r>
        <w:rPr>
          <w:rFonts w:hint="eastAsia"/>
          <w:b/>
          <w:bCs/>
          <w:sz w:val="36"/>
          <w:szCs w:val="36"/>
          <w:lang w:val="en-US" w:eastAsia="zh-CN"/>
        </w:rPr>
        <w:br w:type="page"/>
      </w:r>
    </w:p>
    <w:p w14:paraId="18B28532">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宋体" w:hAnsi="宋体" w:eastAsia="宋体" w:cs="宋体"/>
          <w:b/>
          <w:bCs/>
          <w:sz w:val="44"/>
          <w:szCs w:val="44"/>
        </w:rPr>
      </w:pPr>
      <w:r>
        <w:rPr>
          <w:rFonts w:hint="eastAsia" w:ascii="宋体" w:hAnsi="宋体" w:eastAsia="宋体" w:cs="宋体"/>
          <w:b/>
          <w:bCs/>
          <w:sz w:val="44"/>
          <w:szCs w:val="44"/>
        </w:rPr>
        <w:t>关于规范土地</w:t>
      </w:r>
      <w:r>
        <w:rPr>
          <w:rFonts w:hint="eastAsia" w:ascii="宋体" w:hAnsi="宋体" w:eastAsia="宋体" w:cs="宋体"/>
          <w:b/>
          <w:bCs/>
          <w:sz w:val="44"/>
          <w:szCs w:val="44"/>
          <w:lang w:val="en-US" w:eastAsia="zh-CN"/>
        </w:rPr>
        <w:t>使用权</w:t>
      </w:r>
      <w:r>
        <w:rPr>
          <w:rFonts w:hint="eastAsia" w:ascii="宋体" w:hAnsi="宋体" w:eastAsia="宋体" w:cs="宋体"/>
          <w:b/>
          <w:bCs/>
          <w:sz w:val="44"/>
          <w:szCs w:val="44"/>
        </w:rPr>
        <w:t>出让金</w:t>
      </w:r>
    </w:p>
    <w:p w14:paraId="03AE6AC4">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宋体" w:hAnsi="宋体" w:eastAsia="宋体" w:cs="宋体"/>
          <w:b/>
          <w:bCs/>
          <w:sz w:val="44"/>
          <w:szCs w:val="44"/>
          <w:lang w:val="en-US" w:eastAsia="zh-CN"/>
        </w:rPr>
      </w:pPr>
      <w:r>
        <w:rPr>
          <w:rFonts w:hint="eastAsia" w:ascii="宋体" w:hAnsi="宋体" w:eastAsia="宋体" w:cs="宋体"/>
          <w:b/>
          <w:bCs/>
          <w:sz w:val="44"/>
          <w:szCs w:val="44"/>
        </w:rPr>
        <w:t>征缴工作的</w:t>
      </w:r>
      <w:r>
        <w:rPr>
          <w:rFonts w:hint="eastAsia" w:ascii="宋体" w:hAnsi="宋体" w:eastAsia="宋体" w:cs="宋体"/>
          <w:b/>
          <w:bCs/>
          <w:sz w:val="44"/>
          <w:szCs w:val="44"/>
          <w:lang w:val="en-US" w:eastAsia="zh-CN"/>
        </w:rPr>
        <w:t>机制流程</w:t>
      </w:r>
    </w:p>
    <w:p w14:paraId="381E0FE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w:t>
      </w:r>
      <w:r>
        <w:rPr>
          <w:rFonts w:hint="eastAsia" w:ascii="宋体" w:hAnsi="宋体" w:eastAsia="宋体" w:cs="宋体"/>
          <w:b/>
          <w:bCs/>
          <w:sz w:val="44"/>
          <w:szCs w:val="44"/>
          <w:lang w:val="en-US" w:eastAsia="zh-CN"/>
        </w:rPr>
        <w:t>征求意见稿</w:t>
      </w:r>
      <w:r>
        <w:rPr>
          <w:rFonts w:hint="eastAsia" w:ascii="方正小标宋简体" w:hAnsi="方正小标宋简体" w:eastAsia="方正小标宋简体" w:cs="方正小标宋简体"/>
          <w:b/>
          <w:bCs/>
          <w:sz w:val="44"/>
          <w:szCs w:val="44"/>
          <w:lang w:val="en-US" w:eastAsia="zh-CN"/>
        </w:rPr>
        <w:t>）</w:t>
      </w:r>
    </w:p>
    <w:p w14:paraId="1F849A5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方正小标宋简体" w:hAnsi="方正小标宋简体" w:eastAsia="方正小标宋简体" w:cs="方正小标宋简体"/>
          <w:b/>
          <w:bCs/>
          <w:sz w:val="44"/>
          <w:szCs w:val="44"/>
          <w:lang w:val="en-US" w:eastAsia="zh-CN"/>
        </w:rPr>
      </w:pPr>
    </w:p>
    <w:p w14:paraId="3E6E15F8">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贯彻落实财政部、自然资源部、税务总局、人民银行《关于将国有土地使用权出让收入、矿产资源专项收入、海域使用金、无居民海岛使用金四项政府非税收入划转税务部门征收有关问题的通知》(财综〔2021〕19号)和国家税务总局湖南省税务局、湖南省财政厅、湖南省自然资源厅、湖南省住房和城乡建设厅、中国人民银行长沙中心支行、湖南省公共资源交易中心《关于国有土地使用权出让收入和矿产资源专项收入划转税务部门征收有关问题的通知》(湘税发[2021]84号)精神，进一步规范我县土地出让金征缴管理，现结合我县实际，制定本实施意见。</w:t>
      </w:r>
    </w:p>
    <w:p w14:paraId="67B6CC6F">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rPr>
        <w:t>一、</w:t>
      </w:r>
      <w:r>
        <w:rPr>
          <w:rFonts w:hint="eastAsia" w:ascii="黑体" w:hAnsi="黑体" w:eastAsia="黑体" w:cs="黑体"/>
          <w:b w:val="0"/>
          <w:bCs w:val="0"/>
          <w:color w:val="auto"/>
          <w:sz w:val="32"/>
          <w:szCs w:val="32"/>
          <w:lang w:val="en-US" w:eastAsia="zh-CN"/>
        </w:rPr>
        <w:t>基本原则</w:t>
      </w:r>
    </w:p>
    <w:p w14:paraId="2A561AC0">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按照“职责清晰、流程规范、协同高效”原则，建立“自然资源部门核定、税务部门征收、财政部门统筹”的</w:t>
      </w:r>
      <w:r>
        <w:rPr>
          <w:rFonts w:hint="eastAsia" w:ascii="仿宋_GB2312" w:hAnsi="仿宋_GB2312" w:eastAsia="仿宋_GB2312" w:cs="仿宋_GB2312"/>
          <w:color w:val="auto"/>
          <w:sz w:val="32"/>
          <w:szCs w:val="32"/>
          <w:lang w:val="en-US" w:eastAsia="zh-CN"/>
        </w:rPr>
        <w:t>全过程</w:t>
      </w:r>
      <w:r>
        <w:rPr>
          <w:rFonts w:hint="eastAsia" w:ascii="仿宋_GB2312" w:hAnsi="仿宋_GB2312" w:eastAsia="仿宋_GB2312" w:cs="仿宋_GB2312"/>
          <w:color w:val="auto"/>
          <w:sz w:val="32"/>
          <w:szCs w:val="32"/>
        </w:rPr>
        <w:t>征缴机制，</w:t>
      </w:r>
      <w:r>
        <w:rPr>
          <w:rFonts w:hint="eastAsia" w:ascii="仿宋_GB2312" w:hAnsi="仿宋_GB2312" w:eastAsia="仿宋_GB2312" w:cs="仿宋_GB2312"/>
          <w:color w:val="auto"/>
          <w:sz w:val="32"/>
          <w:szCs w:val="32"/>
          <w:lang w:val="en-US" w:eastAsia="zh-CN"/>
        </w:rPr>
        <w:t>加大对受让人违约欠缴土地出让金行为的处理处罚力度，</w:t>
      </w:r>
      <w:r>
        <w:rPr>
          <w:rFonts w:hint="eastAsia" w:ascii="仿宋_GB2312" w:hAnsi="仿宋_GB2312" w:eastAsia="仿宋_GB2312" w:cs="仿宋_GB2312"/>
          <w:color w:val="auto"/>
          <w:sz w:val="32"/>
          <w:szCs w:val="32"/>
        </w:rPr>
        <w:t>确保土地出让金及时足额入库，保障</w:t>
      </w:r>
      <w:r>
        <w:rPr>
          <w:rFonts w:hint="eastAsia" w:ascii="仿宋_GB2312" w:hAnsi="仿宋_GB2312" w:eastAsia="仿宋_GB2312" w:cs="仿宋_GB2312"/>
          <w:color w:val="auto"/>
          <w:sz w:val="32"/>
          <w:szCs w:val="32"/>
          <w:lang w:val="en-US" w:eastAsia="zh-CN"/>
        </w:rPr>
        <w:t>我县</w:t>
      </w:r>
      <w:r>
        <w:rPr>
          <w:rFonts w:hint="eastAsia" w:ascii="仿宋_GB2312" w:hAnsi="仿宋_GB2312" w:eastAsia="仿宋_GB2312" w:cs="仿宋_GB2312"/>
          <w:color w:val="auto"/>
          <w:sz w:val="32"/>
          <w:szCs w:val="32"/>
        </w:rPr>
        <w:t>经济</w:t>
      </w:r>
      <w:r>
        <w:rPr>
          <w:rFonts w:hint="eastAsia" w:ascii="仿宋_GB2312" w:hAnsi="仿宋_GB2312" w:eastAsia="仿宋_GB2312" w:cs="仿宋_GB2312"/>
          <w:color w:val="auto"/>
          <w:sz w:val="32"/>
          <w:szCs w:val="32"/>
          <w:lang w:val="en-US" w:eastAsia="zh-CN"/>
        </w:rPr>
        <w:t>社会</w:t>
      </w:r>
      <w:r>
        <w:rPr>
          <w:rFonts w:hint="eastAsia" w:ascii="仿宋_GB2312" w:hAnsi="仿宋_GB2312" w:eastAsia="仿宋_GB2312" w:cs="仿宋_GB2312"/>
          <w:color w:val="auto"/>
          <w:sz w:val="32"/>
          <w:szCs w:val="32"/>
        </w:rPr>
        <w:t>高质量发展。</w:t>
      </w:r>
    </w:p>
    <w:p w14:paraId="26599EC1">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二、征缴流程及职责分工</w:t>
      </w:r>
    </w:p>
    <w:p w14:paraId="414F1573">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(一)征缴流程</w:t>
      </w:r>
    </w:p>
    <w:p w14:paraId="6D6765A0">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合同签订与信息传递</w:t>
      </w:r>
    </w:p>
    <w:p w14:paraId="0A84DE4A">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自然资源局:严格按照蓝山县国土空间规划委员会土地出让方案专题会议审核通过并报县人民政府批准同意的《国有建设用地使用权出让方案》和挂牌出让发布的《出让公告》内容，依法与土地受让人签订《国有建设用地使用权出让合同》，明确土地出让价款、缴纳期限、违约责任等条款。土地出让合同签订后1个工作日内，自然资源局登录全国统一规范电子税务局，填写《国有土地使用权出让收入信息采集表》、土地出让合同(包括成交确认书、中标通知书、划拨决定书、补充协议等)、以及需单独缴纳的违约金和利息信息等费源信息，推送至税务部门。</w:t>
      </w:r>
    </w:p>
    <w:p w14:paraId="7444FD5F">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缴费通知与申报缴纳</w:t>
      </w:r>
    </w:p>
    <w:p w14:paraId="4B2AA067">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税务局:税务局接到自然资源局提交的费源信息后，应当采取双岗初核、复核等相关机制，对费源信息的一致性进行核验，核验不一致的，提请自然资源部门更正后重新推送。核验一致的，应当在2个工作日内推送至缴费人办理申报缴费。</w:t>
      </w:r>
    </w:p>
    <w:p w14:paraId="1C78FC9C">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资金入库与对账管理</w:t>
      </w:r>
    </w:p>
    <w:p w14:paraId="090140C7">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自然资源局:自然资源局与土地使用权人签订出让合同后，及时登录全国统一规范电子税务局，填写费源信息推送至税务部门，确保征管信息实时共享。</w:t>
      </w:r>
    </w:p>
    <w:p w14:paraId="3A6C094D">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税务</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：将征收资金全额缴入县级国库，实时向自然资源</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反馈征缴结果。</w:t>
      </w:r>
    </w:p>
    <w:p w14:paraId="7E044D71">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楷体_GB2312" w:hAnsi="楷体_GB2312" w:eastAsia="楷体_GB2312" w:cs="楷体_GB2312"/>
          <w:b/>
          <w:bCs/>
          <w:color w:val="auto"/>
          <w:sz w:val="32"/>
          <w:szCs w:val="32"/>
        </w:rPr>
      </w:pP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：负责资金统筹管理，定期与税务</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、自然资源</w:t>
      </w:r>
      <w:r>
        <w:rPr>
          <w:rFonts w:hint="eastAsia" w:ascii="仿宋_GB2312" w:hAnsi="仿宋_GB2312" w:eastAsia="仿宋_GB2312" w:cs="仿宋_GB2312"/>
          <w:color w:val="auto"/>
          <w:sz w:val="32"/>
          <w:szCs w:val="32"/>
          <w:lang w:val="en-US" w:eastAsia="zh-CN"/>
        </w:rPr>
        <w:t>局核对</w:t>
      </w:r>
      <w:r>
        <w:rPr>
          <w:rFonts w:hint="eastAsia" w:ascii="仿宋_GB2312" w:hAnsi="仿宋_GB2312" w:eastAsia="仿宋_GB2312" w:cs="仿宋_GB2312"/>
          <w:color w:val="auto"/>
          <w:sz w:val="32"/>
          <w:szCs w:val="32"/>
        </w:rPr>
        <w:t>，确保</w:t>
      </w:r>
      <w:r>
        <w:rPr>
          <w:rFonts w:hint="eastAsia" w:ascii="仿宋_GB2312" w:hAnsi="仿宋_GB2312" w:eastAsia="仿宋_GB2312" w:cs="仿宋_GB2312"/>
          <w:color w:val="auto"/>
          <w:sz w:val="32"/>
          <w:szCs w:val="32"/>
          <w:lang w:val="en-US" w:eastAsia="zh-CN"/>
        </w:rPr>
        <w:t>信息</w:t>
      </w:r>
      <w:r>
        <w:rPr>
          <w:rFonts w:hint="eastAsia" w:ascii="仿宋_GB2312" w:hAnsi="仿宋_GB2312" w:eastAsia="仿宋_GB2312" w:cs="仿宋_GB2312"/>
          <w:color w:val="auto"/>
          <w:sz w:val="32"/>
          <w:szCs w:val="32"/>
        </w:rPr>
        <w:t>一致。</w:t>
      </w:r>
    </w:p>
    <w:p w14:paraId="483D4F16">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（二）部门职责</w:t>
      </w:r>
    </w:p>
    <w:p w14:paraId="4B364033">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rPr>
        <w:t>自然资源</w:t>
      </w:r>
      <w:r>
        <w:rPr>
          <w:rFonts w:hint="eastAsia" w:ascii="仿宋_GB2312" w:hAnsi="仿宋_GB2312" w:eastAsia="仿宋_GB2312" w:cs="仿宋_GB2312"/>
          <w:b/>
          <w:bCs/>
          <w:color w:val="auto"/>
          <w:sz w:val="32"/>
          <w:szCs w:val="32"/>
          <w:lang w:val="en-US" w:eastAsia="zh-CN"/>
        </w:rPr>
        <w:t>局</w:t>
      </w:r>
    </w:p>
    <w:p w14:paraId="32090694">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负责土地出让合同签订、信息核定及动态更新；</w:t>
      </w:r>
    </w:p>
    <w:p w14:paraId="4E4ECC5C">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配合税务</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核实欠缴信息，提供土地权属、合同履行等资料；对欠缴企业采取限制办理规划许可、不动产登记等措施。对明显违约的缴费人应终止合同，收回土地。</w:t>
      </w:r>
    </w:p>
    <w:p w14:paraId="72A402F9">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rPr>
        <w:t>税务</w:t>
      </w:r>
      <w:r>
        <w:rPr>
          <w:rFonts w:hint="eastAsia" w:ascii="仿宋_GB2312" w:hAnsi="仿宋_GB2312" w:eastAsia="仿宋_GB2312" w:cs="仿宋_GB2312"/>
          <w:b/>
          <w:bCs/>
          <w:color w:val="auto"/>
          <w:sz w:val="32"/>
          <w:szCs w:val="32"/>
          <w:lang w:val="en-US" w:eastAsia="zh-CN"/>
        </w:rPr>
        <w:t>局</w:t>
      </w:r>
    </w:p>
    <w:p w14:paraId="0C099B2F">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根据财政、自然资源局等有关主管部门提供的应缴费源信息进行征收，对未按规定期限申报缴费的缴费人进行催报催缴，并将催缴时限过后仍未缴纳的欠费信息及时推送至财政、自然资源等相关业务主管部门。。</w:t>
      </w:r>
    </w:p>
    <w:p w14:paraId="5297F928">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rPr>
        <w:t>财政</w:t>
      </w:r>
      <w:r>
        <w:rPr>
          <w:rFonts w:hint="eastAsia" w:ascii="仿宋_GB2312" w:hAnsi="仿宋_GB2312" w:eastAsia="仿宋_GB2312" w:cs="仿宋_GB2312"/>
          <w:b/>
          <w:bCs/>
          <w:color w:val="auto"/>
          <w:sz w:val="32"/>
          <w:szCs w:val="32"/>
          <w:lang w:val="en-US" w:eastAsia="zh-CN"/>
        </w:rPr>
        <w:t>局</w:t>
      </w:r>
    </w:p>
    <w:p w14:paraId="7D402B13">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对自然资源</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和税务</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定期开展专项检查；协调解决跨部门争议问题。</w:t>
      </w:r>
    </w:p>
    <w:p w14:paraId="5C02AFEA">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三、欠缴处置及责任追究</w:t>
      </w:r>
    </w:p>
    <w:p w14:paraId="5A223D5C">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（一）欠缴认定</w:t>
      </w:r>
    </w:p>
    <w:p w14:paraId="0E65BD60">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受让人未按合同约定时间足额缴纳土地出让金的，自逾期之日起视为欠缴，由自然资源局按照合同约定按日加收1</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的滞纳金，并登录全国统一规范电子税务局，填写需单独缴纳的违约金和利息信息等费源信息，推送至税务部门。</w:t>
      </w:r>
    </w:p>
    <w:p w14:paraId="3625F06D">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（二）处置程序</w:t>
      </w:r>
    </w:p>
    <w:p w14:paraId="39805850">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催缴阶段（逾期</w:t>
      </w:r>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0日内）</w:t>
      </w:r>
    </w:p>
    <w:p w14:paraId="52E04735">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color w:val="auto"/>
          <w:sz w:val="32"/>
          <w:szCs w:val="32"/>
        </w:rPr>
        <w:t>税务局通过书面通知、电话等方式在规定时间内进行催缴，催缴时限过后仍未缴纳的，及时将信息同步推送自然资源局;自然资源局暂停办理该受让人用地审批、不动产登记等业务。缴费人后续补缴费款的，由自然资源局登录全国统一规范电子税务局，填写需单独缴纳的违约金和利息信息等费源信息，推送至税务部门。</w:t>
      </w:r>
    </w:p>
    <w:p w14:paraId="7D22BAF5">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2.强制执行阶段（逾期60日以上）</w:t>
      </w:r>
    </w:p>
    <w:p w14:paraId="753FB4D5">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对缴费人经督促提醒仍不缴、少缴土地出让金的，税务</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应当及时将有关信息推送至自然资源</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并根据各自职责权限</w:t>
      </w:r>
      <w:r>
        <w:rPr>
          <w:rFonts w:hint="eastAsia" w:ascii="仿宋_GB2312" w:hAnsi="仿宋_GB2312" w:eastAsia="仿宋_GB2312" w:cs="仿宋_GB2312"/>
          <w:color w:val="auto"/>
          <w:sz w:val="32"/>
          <w:szCs w:val="32"/>
        </w:rPr>
        <w:t>依法采取</w:t>
      </w:r>
      <w:r>
        <w:rPr>
          <w:rFonts w:hint="eastAsia" w:ascii="仿宋_GB2312" w:hAnsi="仿宋_GB2312" w:eastAsia="仿宋_GB2312" w:cs="仿宋_GB2312"/>
          <w:color w:val="auto"/>
          <w:sz w:val="32"/>
          <w:szCs w:val="32"/>
          <w:lang w:val="en-US" w:eastAsia="zh-CN"/>
        </w:rPr>
        <w:t>强制执法</w:t>
      </w:r>
      <w:r>
        <w:rPr>
          <w:rFonts w:hint="eastAsia" w:ascii="仿宋_GB2312" w:hAnsi="仿宋_GB2312" w:eastAsia="仿宋_GB2312" w:cs="仿宋_GB2312"/>
          <w:color w:val="auto"/>
          <w:sz w:val="32"/>
          <w:szCs w:val="32"/>
        </w:rPr>
        <w:t>措施，自然资源</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可依据合同约定解除出让合同，收回土地使用权。</w:t>
      </w:r>
    </w:p>
    <w:p w14:paraId="253B77D3">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（三）责任追究</w:t>
      </w:r>
    </w:p>
    <w:p w14:paraId="29EAB185">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对因部门履职不到位导致欠缴的，由县政府督查室约谈相关责任人；造成重大损失的，依法依规移交纪委监委处理。</w:t>
      </w:r>
    </w:p>
    <w:p w14:paraId="746C4477">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四、保障措施</w:t>
      </w:r>
    </w:p>
    <w:p w14:paraId="00B7BE67">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联席会议制度：建立由县政府分管领导牵头，自然资源、税务、财政等部门参与的联席会议，每季度研究解决征缴问题。</w:t>
      </w:r>
    </w:p>
    <w:p w14:paraId="6A13F9EA">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信息共享机制：依托政务平台实现合同信息、缴费数据、惩戒结果实时共享。</w:t>
      </w:r>
    </w:p>
    <w:p w14:paraId="200FC812">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考核监督：将土地出让金征缴工作纳入部门年度绩效考核，对成效显著的单位予以表彰。</w:t>
      </w:r>
    </w:p>
    <w:p w14:paraId="5F5230D0">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五、附则</w:t>
      </w:r>
    </w:p>
    <w:p w14:paraId="443517E0">
      <w:pPr>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lang w:eastAsia="zh-CN"/>
        </w:rPr>
        <w:sectPr>
          <w:footerReference r:id="rId5" w:type="default"/>
          <w:pgSz w:w="11906" w:h="16838"/>
          <w:pgMar w:top="1440" w:right="1800" w:bottom="1440" w:left="1800" w:header="851" w:footer="992" w:gutter="0"/>
          <w:pgNumType w:fmt="decimal"/>
          <w:cols w:space="425" w:num="1"/>
          <w:docGrid w:type="lines" w:linePitch="312" w:charSpace="0"/>
        </w:sectPr>
      </w:pPr>
      <w:r>
        <w:rPr>
          <w:rFonts w:hint="eastAsia" w:ascii="仿宋_GB2312" w:hAnsi="仿宋_GB2312" w:eastAsia="仿宋_GB2312" w:cs="仿宋_GB2312"/>
          <w:color w:val="auto"/>
          <w:sz w:val="32"/>
          <w:szCs w:val="32"/>
        </w:rPr>
        <w:t>本意见适用于签订《国有建设用地使用权出让合同》的土地出让金征缴，自印发之日起施行，由财政局、</w:t>
      </w:r>
      <w:bookmarkStart w:id="0" w:name="_GoBack"/>
      <w:bookmarkEnd w:id="0"/>
      <w:r>
        <w:rPr>
          <w:rFonts w:hint="eastAsia" w:ascii="仿宋_GB2312" w:hAnsi="仿宋_GB2312" w:eastAsia="仿宋_GB2312" w:cs="仿宋_GB2312"/>
          <w:color w:val="auto"/>
          <w:sz w:val="32"/>
          <w:szCs w:val="32"/>
        </w:rPr>
        <w:t>自然资源局、税务局负</w:t>
      </w:r>
      <w:r>
        <w:rPr>
          <w:rFonts w:hint="eastAsia" w:ascii="仿宋_GB2312" w:hAnsi="仿宋_GB2312" w:eastAsia="仿宋_GB2312" w:cs="仿宋_GB2312"/>
          <w:color w:val="auto"/>
          <w:sz w:val="32"/>
          <w:szCs w:val="32"/>
          <w:lang w:eastAsia="zh-CN"/>
        </w:rPr>
        <w:t>责。</w:t>
      </w:r>
    </w:p>
    <w:p w14:paraId="5D0FFB2F">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关于加强蓝山县房地产项目监督</w:t>
      </w:r>
    </w:p>
    <w:p w14:paraId="798D91BC">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管理机制流程</w:t>
      </w:r>
    </w:p>
    <w:p w14:paraId="1376A868">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w:t>
      </w:r>
      <w:r>
        <w:rPr>
          <w:rFonts w:hint="eastAsia" w:ascii="宋体" w:hAnsi="宋体" w:eastAsia="宋体" w:cs="宋体"/>
          <w:b/>
          <w:bCs/>
          <w:sz w:val="44"/>
          <w:szCs w:val="44"/>
          <w:lang w:val="en-US" w:eastAsia="zh-CN"/>
        </w:rPr>
        <w:t>征求意见稿</w:t>
      </w:r>
      <w:r>
        <w:rPr>
          <w:rFonts w:hint="eastAsia" w:ascii="方正小标宋简体" w:hAnsi="方正小标宋简体" w:eastAsia="方正小标宋简体" w:cs="方正小标宋简体"/>
          <w:b/>
          <w:bCs/>
          <w:sz w:val="44"/>
          <w:szCs w:val="44"/>
          <w:lang w:val="en-US" w:eastAsia="zh-CN"/>
        </w:rPr>
        <w:t>）</w:t>
      </w:r>
    </w:p>
    <w:p w14:paraId="48CA0F8E">
      <w:pPr>
        <w:pStyle w:val="3"/>
        <w:keepNext w:val="0"/>
        <w:keepLines w:val="0"/>
        <w:pageBreakBefore w:val="0"/>
        <w:widowControl/>
        <w:kinsoku/>
        <w:wordWrap/>
        <w:overflowPunct w:val="0"/>
        <w:topLinePunct w:val="0"/>
        <w:autoSpaceDE/>
        <w:autoSpaceDN/>
        <w:bidi w:val="0"/>
        <w:adjustRightInd w:val="0"/>
        <w:snapToGrid w:val="0"/>
        <w:spacing w:line="400" w:lineRule="exact"/>
        <w:ind w:left="0" w:leftChars="0" w:right="0" w:rightChars="0" w:firstLine="648" w:firstLineChars="200"/>
        <w:jc w:val="both"/>
        <w:textAlignment w:val="auto"/>
        <w:rPr>
          <w:rFonts w:hint="eastAsia" w:ascii="仿宋_GB2312" w:hAnsi="仿宋_GB2312" w:eastAsia="仿宋_GB2312" w:cs="仿宋_GB2312"/>
          <w:b w:val="0"/>
          <w:bCs w:val="0"/>
          <w:color w:val="auto"/>
          <w:spacing w:val="2"/>
          <w:sz w:val="32"/>
          <w:szCs w:val="32"/>
        </w:rPr>
      </w:pPr>
    </w:p>
    <w:p w14:paraId="6B66FEAD">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0"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仿宋_GB2312" w:hAnsi="仿宋_GB2312" w:eastAsia="仿宋_GB2312" w:cs="仿宋_GB2312"/>
          <w:b w:val="0"/>
          <w:bCs w:val="0"/>
          <w:color w:val="auto"/>
          <w:spacing w:val="0"/>
          <w:sz w:val="32"/>
          <w:szCs w:val="32"/>
        </w:rPr>
        <w:t>根据《中华人民共和国建筑法》、《建设工程质量管理条例》以及《中华人民共和国城市房地产管理法》等法律法规，立足全县实际，为规范房地产市场运行秩序、保障购房群众合法权益、促进房地产业平稳健康发展，现就强化房地产项目监管工作有关问题明确如下。</w:t>
      </w:r>
    </w:p>
    <w:p w14:paraId="74D98481">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一、强化项目建设全过程监管</w:t>
      </w:r>
    </w:p>
    <w:p w14:paraId="186FC7E1">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3"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楷体_GB2312" w:hAnsi="楷体_GB2312" w:eastAsia="楷体_GB2312" w:cs="楷体_GB2312"/>
          <w:b/>
          <w:bCs/>
          <w:snapToGrid w:val="0"/>
          <w:color w:val="auto"/>
          <w:kern w:val="0"/>
          <w:sz w:val="32"/>
          <w:szCs w:val="32"/>
          <w:lang w:val="en-US" w:eastAsia="en-US" w:bidi="ar-SA"/>
        </w:rPr>
        <w:t>1.施工许可和工程质量监督：</w:t>
      </w:r>
      <w:r>
        <w:rPr>
          <w:rFonts w:hint="eastAsia" w:ascii="仿宋_GB2312" w:hAnsi="仿宋_GB2312" w:eastAsia="仿宋_GB2312" w:cs="仿宋_GB2312"/>
          <w:b w:val="0"/>
          <w:bCs w:val="0"/>
          <w:color w:val="auto"/>
          <w:spacing w:val="0"/>
          <w:sz w:val="32"/>
          <w:szCs w:val="32"/>
        </w:rPr>
        <w:t>没有领取施工许可证、尚未具备法定开工条件的房地产开发企业，一律不得开工建设；住建部门应对开工条件及许可申报资料逐项严格审查，经审查确认开工条件齐备后，方可批准开工。施工期间，监管部门须加强工程质量监督检查，压实建设单位工程质量首要责任，要求施工企业严格依据通过施工图审查的图纸和工程建设强制性标准组织施工，监理机构全面履行监督职责，检测单位依法开展检测并保证数据客观真实。同时完善工程质量投诉处理制度，对购房者及群众反映的质量问题及时受理、妥善处置。</w:t>
      </w:r>
    </w:p>
    <w:p w14:paraId="0D9BD752">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3"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楷体_GB2312" w:hAnsi="楷体_GB2312" w:eastAsia="楷体_GB2312" w:cs="楷体_GB2312"/>
          <w:b/>
          <w:bCs/>
          <w:snapToGrid w:val="0"/>
          <w:color w:val="auto"/>
          <w:kern w:val="0"/>
          <w:sz w:val="32"/>
          <w:szCs w:val="32"/>
          <w:lang w:val="en-US" w:eastAsia="en-US" w:bidi="ar-SA"/>
        </w:rPr>
        <w:t>2.施工安全生产监督：</w:t>
      </w:r>
      <w:r>
        <w:rPr>
          <w:rFonts w:hint="eastAsia" w:ascii="仿宋_GB2312" w:hAnsi="仿宋_GB2312" w:eastAsia="仿宋_GB2312" w:cs="仿宋_GB2312"/>
          <w:b w:val="0"/>
          <w:bCs w:val="0"/>
          <w:color w:val="auto"/>
          <w:spacing w:val="0"/>
          <w:sz w:val="32"/>
          <w:szCs w:val="32"/>
        </w:rPr>
        <w:t>住建部门应督促建设、勘察、设计、监理、施工五方责任主体压实安全生产责任，要求建设单位足额支付安全文明施工费，施工单位保证安全生产投入足额到位，强化施工现场安全管控，配齐安全警示标识和防护设备，确保施工人员及周边居民人身安全。住建部门要定期组织安全检查，凡发现安全隐患的，责令相关单位限期整改；对逾期不改或整改不彻底的，依法依规按程序移交违法线索予以处罚。</w:t>
      </w:r>
    </w:p>
    <w:p w14:paraId="03161296">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二、严把商品房预售监管关口</w:t>
      </w:r>
    </w:p>
    <w:p w14:paraId="1D14E686">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3"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楷体_GB2312" w:hAnsi="楷体_GB2312" w:eastAsia="楷体_GB2312" w:cs="楷体_GB2312"/>
          <w:b/>
          <w:bCs/>
          <w:snapToGrid w:val="0"/>
          <w:color w:val="auto"/>
          <w:kern w:val="0"/>
          <w:sz w:val="32"/>
          <w:szCs w:val="32"/>
          <w:lang w:val="en-US" w:eastAsia="en-US" w:bidi="ar-SA"/>
        </w:rPr>
        <w:t>1.预售许可审批：</w:t>
      </w:r>
      <w:r>
        <w:rPr>
          <w:rFonts w:hint="eastAsia" w:ascii="仿宋_GB2312" w:hAnsi="仿宋_GB2312" w:eastAsia="仿宋_GB2312" w:cs="仿宋_GB2312"/>
          <w:b w:val="0"/>
          <w:bCs w:val="0"/>
          <w:color w:val="auto"/>
          <w:spacing w:val="0"/>
          <w:sz w:val="32"/>
          <w:szCs w:val="32"/>
        </w:rPr>
        <w:t>房地产开发企业须依法获批预售许可，方可对外预售商品房。未获许可的项目一律不得对外预售，也不得向购房者收取或者变相收取其定金、预订款等任何款项。主管部门要从严审查预售许可申报资料，凡预售条件不具备的项目，一律不予发证。</w:t>
      </w:r>
    </w:p>
    <w:p w14:paraId="2E903E01">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3"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楷体_GB2312" w:hAnsi="楷体_GB2312" w:eastAsia="楷体_GB2312" w:cs="楷体_GB2312"/>
          <w:b/>
          <w:bCs/>
          <w:snapToGrid w:val="0"/>
          <w:color w:val="auto"/>
          <w:kern w:val="0"/>
          <w:sz w:val="32"/>
          <w:szCs w:val="32"/>
          <w:lang w:val="en-US" w:eastAsia="en-US" w:bidi="ar-SA"/>
        </w:rPr>
        <w:t>2.预售款项监管：</w:t>
      </w:r>
      <w:r>
        <w:rPr>
          <w:rFonts w:hint="eastAsia" w:ascii="仿宋_GB2312" w:hAnsi="仿宋_GB2312" w:eastAsia="仿宋_GB2312" w:cs="仿宋_GB2312"/>
          <w:b w:val="0"/>
          <w:bCs w:val="0"/>
          <w:color w:val="auto"/>
          <w:spacing w:val="0"/>
          <w:sz w:val="32"/>
          <w:szCs w:val="32"/>
        </w:rPr>
        <w:t>开发企业在申报预售许可之前，应选定商业银行开设预售资金监管专户，并与监管银行、县住建局住房保障中心共同签署三方监管协议；购房人缴纳的住房公积金贷款、银行按揭款、定金、分期付款、首付款等各类购房款项，均须全额存入监管专户，严禁转入非监管账户。</w:t>
      </w:r>
    </w:p>
    <w:p w14:paraId="304CBEB6">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0"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仿宋_GB2312" w:hAnsi="仿宋_GB2312" w:eastAsia="仿宋_GB2312" w:cs="仿宋_GB2312"/>
          <w:b w:val="0"/>
          <w:bCs w:val="0"/>
          <w:color w:val="auto"/>
          <w:spacing w:val="0"/>
          <w:sz w:val="32"/>
          <w:szCs w:val="32"/>
        </w:rPr>
        <w:t>监管专户资金坚持专款专用，只能投入本项目开发建设，严禁截留、挤占或挪作他用；监管银行应根据工程进度和资金使用方案分批拨付，确保资金足额投入工程。县住建局将强化对预售资金支用情况的跟踪检查，对违规支取、挪用资金的行为依法依规从严查处。同时，县住建局住房保障中心将搭建覆盖全县的预售资金信息化监管平台，对资金缴存和支用实行实时监测；开发企业和监管银行须及时、如实、完整地上传缴存及支用信息。</w:t>
      </w:r>
    </w:p>
    <w:p w14:paraId="6C141F09">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3"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楷体_GB2312" w:hAnsi="楷体_GB2312" w:eastAsia="楷体_GB2312" w:cs="楷体_GB2312"/>
          <w:b/>
          <w:bCs/>
          <w:snapToGrid w:val="0"/>
          <w:color w:val="auto"/>
          <w:kern w:val="0"/>
          <w:sz w:val="32"/>
          <w:szCs w:val="32"/>
          <w:lang w:val="en-US" w:eastAsia="en-US" w:bidi="ar-SA"/>
        </w:rPr>
        <w:t>3.商品房销售行为规范：</w:t>
      </w:r>
      <w:r>
        <w:rPr>
          <w:rFonts w:hint="eastAsia" w:ascii="仿宋_GB2312" w:hAnsi="仿宋_GB2312" w:eastAsia="仿宋_GB2312" w:cs="仿宋_GB2312"/>
          <w:b w:val="0"/>
          <w:bCs w:val="0"/>
          <w:color w:val="auto"/>
          <w:spacing w:val="0"/>
          <w:sz w:val="32"/>
          <w:szCs w:val="32"/>
        </w:rPr>
        <w:t>住建部门应强化对商品房销售活动的监管，开发企业须在售楼场所醒目位置公示预售许可证、房源信息、销售价格及合同示范文本，做到明码标价、公开透明，严禁捂盘惜售、倒卖房号、哄抬房价。企业不得借排号、发卡、认购、预订等名目，向购房者收取或者变相收取其定金、预订款等费用。商品房广告宣传须真实规范，禁止虚假宣传，不得误导购房群众。</w:t>
      </w:r>
    </w:p>
    <w:p w14:paraId="7B1B66E8">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三、严格竣工验收与交付管理</w:t>
      </w:r>
    </w:p>
    <w:p w14:paraId="21A7E156">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3"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楷体_GB2312" w:hAnsi="楷体_GB2312" w:eastAsia="楷体_GB2312" w:cs="楷体_GB2312"/>
          <w:b/>
          <w:bCs/>
          <w:snapToGrid w:val="0"/>
          <w:color w:val="auto"/>
          <w:kern w:val="0"/>
          <w:sz w:val="32"/>
          <w:szCs w:val="32"/>
          <w:lang w:val="en-US" w:eastAsia="en-US" w:bidi="ar-SA"/>
        </w:rPr>
        <w:t>1.竣工验收与备案办理：</w:t>
      </w:r>
      <w:r>
        <w:rPr>
          <w:rFonts w:hint="eastAsia" w:ascii="仿宋_GB2312" w:hAnsi="仿宋_GB2312" w:eastAsia="仿宋_GB2312" w:cs="仿宋_GB2312"/>
          <w:b w:val="0"/>
          <w:bCs w:val="0"/>
          <w:color w:val="auto"/>
          <w:spacing w:val="0"/>
          <w:sz w:val="32"/>
          <w:szCs w:val="32"/>
        </w:rPr>
        <w:t>项目建成后，由开发企业牵头，会同勘察、设计、监理、施工等参建单位共同实施竣工验收，主管部门对验收全程实施监督，保证验收程序合规、验收标准达标。凡未经竣工验收或者验收结论为不合格的工程，一律禁止交付使用；验收合格的，开发企业应自验收合格当日起十五日内，到县住建局申报竣工验收备案。</w:t>
      </w:r>
    </w:p>
    <w:p w14:paraId="6FE6EF96">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3"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楷体_GB2312" w:hAnsi="楷体_GB2312" w:eastAsia="楷体_GB2312" w:cs="楷体_GB2312"/>
          <w:b/>
          <w:bCs/>
          <w:snapToGrid w:val="0"/>
          <w:color w:val="auto"/>
          <w:kern w:val="0"/>
          <w:sz w:val="32"/>
          <w:szCs w:val="32"/>
          <w:lang w:val="en-US" w:eastAsia="en-US" w:bidi="ar-SA"/>
        </w:rPr>
        <w:t>2.房屋交付与手续管理：</w:t>
      </w:r>
      <w:r>
        <w:rPr>
          <w:rFonts w:hint="eastAsia" w:ascii="仿宋_GB2312" w:hAnsi="仿宋_GB2312" w:eastAsia="仿宋_GB2312" w:cs="仿宋_GB2312"/>
          <w:b w:val="0"/>
          <w:bCs w:val="0"/>
          <w:color w:val="auto"/>
          <w:spacing w:val="0"/>
          <w:sz w:val="32"/>
          <w:szCs w:val="32"/>
        </w:rPr>
        <w:t>开发企业应依买卖合同载明的交付条件、期限，向购房人办理房屋交接，交付时应一并提交住宅使用说明书、竣工验收备案表、住宅质量保证书等文件，并确保房屋品质达标、配套设施完善，供水、供电、供气等市政管线运转正常。</w:t>
      </w:r>
    </w:p>
    <w:p w14:paraId="5FEBE808">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3"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楷体_GB2312" w:hAnsi="楷体_GB2312" w:eastAsia="楷体_GB2312" w:cs="楷体_GB2312"/>
          <w:b/>
          <w:bCs/>
          <w:snapToGrid w:val="0"/>
          <w:color w:val="auto"/>
          <w:kern w:val="0"/>
          <w:sz w:val="32"/>
          <w:szCs w:val="32"/>
          <w:lang w:val="en-US" w:eastAsia="en-US" w:bidi="ar-SA"/>
        </w:rPr>
        <w:t>3.不动产权证书办理：</w:t>
      </w:r>
      <w:r>
        <w:rPr>
          <w:rFonts w:hint="eastAsia" w:ascii="仿宋_GB2312" w:hAnsi="仿宋_GB2312" w:eastAsia="仿宋_GB2312" w:cs="仿宋_GB2312"/>
          <w:b w:val="0"/>
          <w:bCs w:val="0"/>
          <w:color w:val="auto"/>
          <w:spacing w:val="0"/>
          <w:sz w:val="32"/>
          <w:szCs w:val="32"/>
        </w:rPr>
        <w:t>开发企业应配合购房者申办不动产权属证书，按时提交办证所需材料，切实履行协助义务；因企业自身原因使购房者不能按期取得权属证书的，依法追究企业责任。</w:t>
      </w:r>
    </w:p>
    <w:p w14:paraId="6FFA9017">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3"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楷体_GB2312" w:hAnsi="楷体_GB2312" w:eastAsia="楷体_GB2312" w:cs="楷体_GB2312"/>
          <w:b/>
          <w:bCs/>
          <w:snapToGrid w:val="0"/>
          <w:color w:val="auto"/>
          <w:kern w:val="0"/>
          <w:sz w:val="32"/>
          <w:szCs w:val="32"/>
          <w:lang w:val="en-US" w:eastAsia="en-US" w:bidi="ar-SA"/>
        </w:rPr>
        <w:t>4.质量保修义务履行：</w:t>
      </w:r>
      <w:r>
        <w:rPr>
          <w:rFonts w:hint="eastAsia" w:ascii="仿宋_GB2312" w:hAnsi="仿宋_GB2312" w:eastAsia="仿宋_GB2312" w:cs="仿宋_GB2312"/>
          <w:b w:val="0"/>
          <w:bCs w:val="0"/>
          <w:color w:val="auto"/>
          <w:spacing w:val="0"/>
          <w:sz w:val="32"/>
          <w:szCs w:val="32"/>
        </w:rPr>
        <w:t>开发企业须严格按住宅质量保证书载明的承诺履行保修义务；保修期内出现质量问题的，应及时维修，保障业主正常使用；凡因质量缺陷使业主遭受损害的，依法予以赔偿。</w:t>
      </w:r>
    </w:p>
    <w:p w14:paraId="067BE7B4">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黑体" w:hAnsi="黑体" w:eastAsia="黑体" w:cs="黑体"/>
          <w:b w:val="0"/>
          <w:bCs w:val="0"/>
          <w:color w:val="auto"/>
          <w:sz w:val="32"/>
          <w:szCs w:val="32"/>
        </w:rPr>
      </w:pPr>
    </w:p>
    <w:p w14:paraId="4D221B91">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黑体" w:hAnsi="黑体" w:eastAsia="黑体" w:cs="黑体"/>
          <w:b w:val="0"/>
          <w:bCs w:val="0"/>
          <w:color w:val="auto"/>
          <w:sz w:val="32"/>
          <w:szCs w:val="32"/>
        </w:rPr>
      </w:pPr>
    </w:p>
    <w:p w14:paraId="227CBAB6">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四、提升执法检查效能</w:t>
      </w:r>
    </w:p>
    <w:p w14:paraId="18858175">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3"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楷体_GB2312" w:hAnsi="楷体_GB2312" w:eastAsia="楷体_GB2312" w:cs="楷体_GB2312"/>
          <w:b/>
          <w:bCs/>
          <w:snapToGrid w:val="0"/>
          <w:color w:val="auto"/>
          <w:kern w:val="0"/>
          <w:sz w:val="32"/>
          <w:szCs w:val="32"/>
          <w:lang w:val="en-US" w:eastAsia="en-US" w:bidi="ar-SA"/>
        </w:rPr>
        <w:t>1.日常巡查与台账管理：</w:t>
      </w:r>
      <w:r>
        <w:rPr>
          <w:rFonts w:hint="eastAsia" w:ascii="仿宋_GB2312" w:hAnsi="仿宋_GB2312" w:eastAsia="仿宋_GB2312" w:cs="仿宋_GB2312"/>
          <w:b w:val="0"/>
          <w:bCs w:val="0"/>
          <w:color w:val="auto"/>
          <w:spacing w:val="0"/>
          <w:sz w:val="32"/>
          <w:szCs w:val="32"/>
        </w:rPr>
        <w:t>县住建局将加密对辖区内房地产项目的巡查频次，逐项建立巡查台账；检查中发现问题的，当场下达整改通知并明确整改期限。逾期不改或整改不彻底的，依法给予处罚，同时将相关违法行为纳入企业信用记录。</w:t>
      </w:r>
    </w:p>
    <w:p w14:paraId="477D9016">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3"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楷体_GB2312" w:hAnsi="楷体_GB2312" w:eastAsia="楷体_GB2312" w:cs="楷体_GB2312"/>
          <w:b/>
          <w:bCs/>
          <w:snapToGrid w:val="0"/>
          <w:color w:val="auto"/>
          <w:kern w:val="0"/>
          <w:sz w:val="32"/>
          <w:szCs w:val="32"/>
          <w:lang w:val="en-US" w:eastAsia="en-US" w:bidi="ar-SA"/>
        </w:rPr>
        <w:t>2.实行网格化巡查和“双随机、一公开”抽查：</w:t>
      </w:r>
      <w:r>
        <w:rPr>
          <w:rFonts w:hint="eastAsia" w:ascii="仿宋_GB2312" w:hAnsi="仿宋_GB2312" w:eastAsia="仿宋_GB2312" w:cs="仿宋_GB2312"/>
          <w:b w:val="0"/>
          <w:bCs w:val="0"/>
          <w:color w:val="auto"/>
          <w:spacing w:val="0"/>
          <w:sz w:val="32"/>
          <w:szCs w:val="32"/>
        </w:rPr>
        <w:t>县住建局应科学划定网格巡查片区，明确各片区覆盖范围、巡查频次和责任人，定期组织“打非治违”网格巡查，并依托“双随机、一公开”平台随机确定抽查项目，对未批先建、不按图施工、违规支取监管资金等企业，依法依规严肃查处。</w:t>
      </w:r>
    </w:p>
    <w:p w14:paraId="18375244">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3"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楷体_GB2312" w:hAnsi="楷体_GB2312" w:eastAsia="楷体_GB2312" w:cs="楷体_GB2312"/>
          <w:b/>
          <w:bCs/>
          <w:snapToGrid w:val="0"/>
          <w:color w:val="auto"/>
          <w:kern w:val="0"/>
          <w:sz w:val="32"/>
          <w:szCs w:val="32"/>
          <w:lang w:val="en-US" w:eastAsia="en-US" w:bidi="ar-SA"/>
        </w:rPr>
        <w:t>3.畅通公众监督渠道：</w:t>
      </w:r>
      <w:r>
        <w:rPr>
          <w:rFonts w:hint="eastAsia" w:ascii="仿宋_GB2312" w:hAnsi="仿宋_GB2312" w:eastAsia="仿宋_GB2312" w:cs="仿宋_GB2312"/>
          <w:b w:val="0"/>
          <w:bCs w:val="0"/>
          <w:color w:val="auto"/>
          <w:spacing w:val="0"/>
          <w:sz w:val="32"/>
          <w:szCs w:val="32"/>
        </w:rPr>
        <w:t>健全投诉举报受理机制，发动广大群众检举房地产项目违法违规行为，营造全社会共同监督的浓厚氛围。</w:t>
      </w:r>
    </w:p>
    <w:p w14:paraId="3A0975F3">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五、责任追究</w:t>
      </w:r>
    </w:p>
    <w:p w14:paraId="4256E105">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(一)开发企业实施违法违规行为的罚则：</w:t>
      </w:r>
    </w:p>
    <w:p w14:paraId="325A2299">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0"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仿宋_GB2312" w:hAnsi="仿宋_GB2312" w:eastAsia="仿宋_GB2312" w:cs="仿宋_GB2312"/>
          <w:b w:val="0"/>
          <w:bCs w:val="0"/>
          <w:color w:val="auto"/>
          <w:spacing w:val="0"/>
          <w:sz w:val="32"/>
          <w:szCs w:val="32"/>
        </w:rPr>
        <w:t>1.开发企业未领取施工许可证、开工报告亦未获批，即擅自组织施工的，责令停工、限期整改，处以工程合同价款百分之一以上、百分之二以下罚款。</w:t>
      </w:r>
    </w:p>
    <w:p w14:paraId="3C857DBB">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0"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仿宋_GB2312" w:hAnsi="仿宋_GB2312" w:eastAsia="仿宋_GB2312" w:cs="仿宋_GB2312"/>
          <w:b w:val="0"/>
          <w:bCs w:val="0"/>
          <w:color w:val="auto"/>
          <w:spacing w:val="0"/>
          <w:sz w:val="32"/>
          <w:szCs w:val="32"/>
        </w:rPr>
        <w:t>2.若开发企业把工程发包给资质等级不达标的勘察设计施工单位，或者将监理业务委托给资质等级不达标的监理机构，责令改正，处五十万元以上一百万元以下罚款。</w:t>
      </w:r>
    </w:p>
    <w:p w14:paraId="6B69901B">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0"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仿宋_GB2312" w:hAnsi="仿宋_GB2312" w:eastAsia="仿宋_GB2312" w:cs="仿宋_GB2312"/>
          <w:b w:val="0"/>
          <w:bCs w:val="0"/>
          <w:color w:val="auto"/>
          <w:spacing w:val="0"/>
          <w:sz w:val="32"/>
          <w:szCs w:val="32"/>
        </w:rPr>
        <w:t>3.若开发企业授意或暗示设计、施工单位不执行工程建设强制性标准、降低工程质量，或者在施工图设计文件未通过审查的情况下擅自施工，以及未依规申报工程质量监督的，责令改正，处二十万元以上五十万元以下罚款。</w:t>
      </w:r>
    </w:p>
    <w:p w14:paraId="0F7EB3F3">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0"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仿宋_GB2312" w:hAnsi="仿宋_GB2312" w:eastAsia="仿宋_GB2312" w:cs="仿宋_GB2312"/>
          <w:b w:val="0"/>
          <w:bCs w:val="0"/>
          <w:color w:val="auto"/>
          <w:spacing w:val="0"/>
          <w:sz w:val="32"/>
          <w:szCs w:val="32"/>
        </w:rPr>
        <w:t>4.若开发企业未组织竣工验收擅自交付使用，或者验收不合格仍擅自交付使用的，责令改正，处工程合同价款百分之二以上、百分之四以下罚款；造成损失的，依法予以赔偿。</w:t>
      </w:r>
    </w:p>
    <w:p w14:paraId="2CEE3F74">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0"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仿宋_GB2312" w:hAnsi="仿宋_GB2312" w:eastAsia="仿宋_GB2312" w:cs="仿宋_GB2312"/>
          <w:b w:val="0"/>
          <w:bCs w:val="0"/>
          <w:color w:val="auto"/>
          <w:spacing w:val="0"/>
          <w:sz w:val="32"/>
          <w:szCs w:val="32"/>
        </w:rPr>
        <w:t>5.若开发企业未将建设项目档案移交建设主管部门或其他有关部门的，责令改正，处一万元以上十万元以下罚款。</w:t>
      </w:r>
    </w:p>
    <w:p w14:paraId="5ED7E6D5">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0"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仿宋_GB2312" w:hAnsi="仿宋_GB2312" w:eastAsia="仿宋_GB2312" w:cs="仿宋_GB2312"/>
          <w:b w:val="0"/>
          <w:bCs w:val="0"/>
          <w:color w:val="auto"/>
          <w:spacing w:val="0"/>
          <w:sz w:val="32"/>
          <w:szCs w:val="32"/>
        </w:rPr>
        <w:t>6.若开发企业无《商品房预售许可证》即对外预售商品房的，责令立即停止预售，违法所得予以没收，并可处已收预付款百分之一以下罚款。</w:t>
      </w:r>
    </w:p>
    <w:p w14:paraId="265C8FA3">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0"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仿宋_GB2312" w:hAnsi="仿宋_GB2312" w:eastAsia="仿宋_GB2312" w:cs="仿宋_GB2312"/>
          <w:b w:val="0"/>
          <w:bCs w:val="0"/>
          <w:color w:val="auto"/>
          <w:spacing w:val="0"/>
          <w:sz w:val="32"/>
          <w:szCs w:val="32"/>
        </w:rPr>
        <w:t>7.若开发企业未按监管规定支用预售款项的，责令在限期内纠正，并可处违法所得三倍以下、最高不超过三万元的罚款。</w:t>
      </w:r>
    </w:p>
    <w:p w14:paraId="6C6D6271">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3"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楷体_GB2312" w:hAnsi="楷体_GB2312" w:eastAsia="楷体_GB2312" w:cs="楷体_GB2312"/>
          <w:b/>
          <w:bCs/>
          <w:snapToGrid w:val="0"/>
          <w:color w:val="auto"/>
          <w:kern w:val="0"/>
          <w:sz w:val="32"/>
          <w:szCs w:val="32"/>
          <w:lang w:val="en-US" w:eastAsia="en-US" w:bidi="ar-SA"/>
        </w:rPr>
        <w:t>(二)监管部门和人员的失职渎职责任追究：</w:t>
      </w:r>
      <w:r>
        <w:rPr>
          <w:rFonts w:hint="eastAsia" w:ascii="仿宋_GB2312" w:hAnsi="仿宋_GB2312" w:eastAsia="仿宋_GB2312" w:cs="仿宋_GB2312"/>
          <w:b w:val="0"/>
          <w:bCs w:val="0"/>
          <w:color w:val="auto"/>
          <w:spacing w:val="0"/>
          <w:sz w:val="32"/>
          <w:szCs w:val="32"/>
        </w:rPr>
        <w:t>对负有房地产项目监管职责的部门及其工作人员，在履职过程中玩忽职守、滥用职权、徇私舞弊的，由其所在单位或者上级主管部门依规给予行政处分；涉嫌犯罪的，移送司法机关追究刑事责任。</w:t>
      </w:r>
    </w:p>
    <w:p w14:paraId="38A0E886">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40"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仿宋_GB2312" w:hAnsi="仿宋_GB2312" w:eastAsia="仿宋_GB2312" w:cs="仿宋_GB2312"/>
          <w:b w:val="0"/>
          <w:bCs w:val="0"/>
          <w:color w:val="auto"/>
          <w:spacing w:val="0"/>
          <w:sz w:val="32"/>
          <w:szCs w:val="32"/>
        </w:rPr>
        <w:t>对保交楼项目及存在风险隐患的楼盘，须依照《全省住房和城乡建设系统集中化解房地产办证突出问题专项行动和“交房即办证”工作方案》的要求，逐楼制定化解方案、实行“一楼一策”，确保问题化解到位。</w:t>
      </w:r>
    </w:p>
    <w:p w14:paraId="0CECF97C">
      <w:pPr>
        <w:pStyle w:val="3"/>
        <w:keepNext w:val="0"/>
        <w:keepLines w:val="0"/>
        <w:pageBreakBefore w:val="0"/>
        <w:widowControl/>
        <w:kinsoku/>
        <w:wordWrap/>
        <w:overflowPunct w:val="0"/>
        <w:topLinePunct w:val="0"/>
        <w:autoSpaceDE/>
        <w:autoSpaceDN/>
        <w:bidi w:val="0"/>
        <w:adjustRightInd w:val="0"/>
        <w:snapToGrid w:val="0"/>
        <w:spacing w:line="540" w:lineRule="exact"/>
        <w:ind w:left="0" w:leftChars="0" w:right="0" w:rightChars="0" w:firstLine="616"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仿宋_GB2312" w:hAnsi="仿宋_GB2312" w:eastAsia="仿宋_GB2312" w:cs="仿宋_GB2312"/>
          <w:b w:val="0"/>
          <w:bCs w:val="0"/>
          <w:color w:val="auto"/>
          <w:spacing w:val="-6"/>
          <w:sz w:val="32"/>
          <w:szCs w:val="32"/>
        </w:rPr>
        <w:t>全县各房地产开发企业及有关单位须高度重视，认真抓好</w:t>
      </w:r>
      <w:r>
        <w:rPr>
          <w:rFonts w:hint="eastAsia" w:ascii="仿宋_GB2312" w:hAnsi="仿宋_GB2312" w:eastAsia="仿宋_GB2312" w:cs="仿宋_GB2312"/>
          <w:b w:val="0"/>
          <w:bCs w:val="0"/>
          <w:color w:val="auto"/>
          <w:spacing w:val="0"/>
          <w:sz w:val="32"/>
          <w:szCs w:val="32"/>
        </w:rPr>
        <w:t>本通知精神的贯彻落实，不断规范自身开发经营活动、提高服务质量，携手营造我县房地产市场健康有序的发展环境。</w:t>
      </w:r>
    </w:p>
    <w:p w14:paraId="105458A5">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b/>
          <w:bCs/>
          <w:sz w:val="44"/>
          <w:szCs w:val="44"/>
          <w:lang w:val="en-US" w:eastAsia="zh-CN"/>
        </w:rPr>
        <w:sectPr>
          <w:pgSz w:w="11906" w:h="16838"/>
          <w:pgMar w:top="1440" w:right="1800" w:bottom="1440" w:left="1800" w:header="851" w:footer="992" w:gutter="0"/>
          <w:pgNumType w:fmt="decimal"/>
          <w:cols w:space="425" w:num="1"/>
          <w:docGrid w:type="lines" w:linePitch="312" w:charSpace="0"/>
        </w:sectPr>
      </w:pPr>
    </w:p>
    <w:p w14:paraId="3122BF6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关于房地产领域违建行为执法处罚</w:t>
      </w:r>
    </w:p>
    <w:p w14:paraId="3BC8B63B">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机制流程</w:t>
      </w:r>
    </w:p>
    <w:p w14:paraId="3FFCCBAE">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w:t>
      </w:r>
      <w:r>
        <w:rPr>
          <w:rFonts w:hint="eastAsia" w:ascii="宋体" w:hAnsi="宋体" w:eastAsia="宋体" w:cs="宋体"/>
          <w:b/>
          <w:bCs/>
          <w:sz w:val="44"/>
          <w:szCs w:val="44"/>
          <w:lang w:val="en-US" w:eastAsia="zh-CN"/>
        </w:rPr>
        <w:t>征求意见稿</w:t>
      </w:r>
      <w:r>
        <w:rPr>
          <w:rFonts w:hint="eastAsia" w:ascii="方正小标宋简体" w:hAnsi="方正小标宋简体" w:eastAsia="方正小标宋简体" w:cs="方正小标宋简体"/>
          <w:b/>
          <w:bCs/>
          <w:sz w:val="44"/>
          <w:szCs w:val="44"/>
          <w:lang w:val="en-US" w:eastAsia="zh-CN"/>
        </w:rPr>
        <w:t>）</w:t>
      </w:r>
    </w:p>
    <w:p w14:paraId="7F73B3D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方正小标宋简体" w:hAnsi="方正小标宋简体" w:eastAsia="方正小标宋简体" w:cs="方正小标宋简体"/>
          <w:b/>
          <w:bCs/>
          <w:sz w:val="44"/>
          <w:szCs w:val="44"/>
          <w:lang w:val="en-US" w:eastAsia="zh-CN"/>
        </w:rPr>
      </w:pPr>
    </w:p>
    <w:p w14:paraId="7D8F3C60">
      <w:pPr>
        <w:pStyle w:val="2"/>
        <w:keepNext/>
        <w:keepLines/>
        <w:pageBreakBefore w:val="0"/>
        <w:widowControl w:val="0"/>
        <w:numPr>
          <w:ilvl w:val="0"/>
          <w:numId w:val="1"/>
        </w:numPr>
        <w:kinsoku/>
        <w:wordWrap/>
        <w:overflowPunct w:val="0"/>
        <w:topLinePunct w:val="0"/>
        <w:autoSpaceDE/>
        <w:autoSpaceDN/>
        <w:bidi w:val="0"/>
        <w:adjustRightInd/>
        <w:snapToGrid/>
        <w:spacing w:before="0" w:beforeAutospacing="0" w:after="0" w:afterAutospacing="0" w:line="540" w:lineRule="exact"/>
        <w:ind w:left="-10" w:leftChars="0" w:right="0" w:rightChars="0" w:firstLine="640" w:firstLineChars="0"/>
        <w:jc w:val="both"/>
        <w:textAlignment w:val="auto"/>
        <w:outlineLvl w:val="1"/>
        <w:rPr>
          <w:rFonts w:hint="eastAsia" w:ascii="黑体" w:hAnsi="黑体" w:eastAsia="黑体" w:cs="黑体"/>
          <w:b w:val="0"/>
          <w:bCs w:val="0"/>
          <w:snapToGrid/>
          <w:color w:val="auto"/>
          <w:kern w:val="2"/>
          <w:sz w:val="32"/>
          <w:szCs w:val="32"/>
          <w:lang w:val="en-US" w:eastAsia="zh-CN" w:bidi="ar-SA"/>
        </w:rPr>
      </w:pPr>
      <w:r>
        <w:rPr>
          <w:rFonts w:hint="eastAsia" w:ascii="黑体" w:hAnsi="黑体" w:eastAsia="黑体" w:cs="黑体"/>
          <w:b w:val="0"/>
          <w:bCs w:val="0"/>
          <w:snapToGrid/>
          <w:color w:val="auto"/>
          <w:kern w:val="2"/>
          <w:sz w:val="32"/>
          <w:szCs w:val="32"/>
          <w:lang w:val="en-US" w:eastAsia="zh-CN" w:bidi="ar-SA"/>
        </w:rPr>
        <w:t>案件移送及办理时限</w:t>
      </w:r>
    </w:p>
    <w:p w14:paraId="13CB1461">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由自然资源部门对房地产领域违法建设行为开展核查认定，对属于县城管局行政处罚职责范围的违法案件，函告县城管局按照法定程序实施行政处罚。上述案件办理期限为90日。</w:t>
      </w:r>
    </w:p>
    <w:p w14:paraId="799BAFBE">
      <w:pPr>
        <w:pStyle w:val="2"/>
        <w:keepNext/>
        <w:keepLines/>
        <w:pageBreakBefore w:val="0"/>
        <w:widowControl w:val="0"/>
        <w:numPr>
          <w:ilvl w:val="0"/>
          <w:numId w:val="1"/>
        </w:numPr>
        <w:kinsoku/>
        <w:wordWrap/>
        <w:overflowPunct w:val="0"/>
        <w:topLinePunct w:val="0"/>
        <w:autoSpaceDE/>
        <w:autoSpaceDN/>
        <w:bidi w:val="0"/>
        <w:adjustRightInd/>
        <w:snapToGrid/>
        <w:spacing w:before="0" w:beforeAutospacing="0" w:after="0" w:afterAutospacing="0" w:line="540" w:lineRule="exact"/>
        <w:ind w:left="-10" w:leftChars="0" w:right="0" w:rightChars="0" w:firstLine="640" w:firstLineChars="0"/>
        <w:jc w:val="both"/>
        <w:textAlignment w:val="auto"/>
        <w:outlineLvl w:val="1"/>
        <w:rPr>
          <w:rFonts w:hint="eastAsia" w:ascii="黑体" w:hAnsi="黑体" w:eastAsia="黑体" w:cs="黑体"/>
          <w:b w:val="0"/>
          <w:bCs w:val="0"/>
          <w:snapToGrid/>
          <w:color w:val="auto"/>
          <w:kern w:val="2"/>
          <w:sz w:val="32"/>
          <w:szCs w:val="32"/>
          <w:lang w:val="en-US" w:eastAsia="zh-CN" w:bidi="ar-SA"/>
        </w:rPr>
      </w:pPr>
      <w:r>
        <w:rPr>
          <w:rFonts w:hint="eastAsia" w:ascii="黑体" w:hAnsi="黑体" w:eastAsia="黑体" w:cs="黑体"/>
          <w:b w:val="0"/>
          <w:bCs w:val="0"/>
          <w:snapToGrid/>
          <w:color w:val="auto"/>
          <w:kern w:val="2"/>
          <w:sz w:val="32"/>
          <w:szCs w:val="32"/>
          <w:lang w:val="en-US" w:eastAsia="zh-CN" w:bidi="ar-SA"/>
        </w:rPr>
        <w:t>违法建设处置具体情形</w:t>
      </w:r>
    </w:p>
    <w:p w14:paraId="13556DBE">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纳入县城管局行政处罚职责范围的房地产领域违法建设情形共6项，具体如下：</w:t>
      </w:r>
    </w:p>
    <w:p w14:paraId="377F58F9">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超出计容建筑面积违法建设；</w:t>
      </w:r>
    </w:p>
    <w:p w14:paraId="56F0A8FF">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超出规划核准楼层违法建设；</w:t>
      </w:r>
    </w:p>
    <w:p w14:paraId="692F034D">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违规实施建筑出挑建设；</w:t>
      </w:r>
    </w:p>
    <w:p w14:paraId="1A518AE8">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建筑外立面未按照规划许可要求施工建设；</w:t>
      </w:r>
    </w:p>
    <w:p w14:paraId="585628F6">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项目绿地率、配建停车位指标未达到规划核准标准；</w:t>
      </w:r>
    </w:p>
    <w:p w14:paraId="6EAE9519">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建筑退让距离未按规划条件落实到位。</w:t>
      </w:r>
    </w:p>
    <w:p w14:paraId="26713DFF">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黑体" w:hAnsi="黑体" w:eastAsia="黑体" w:cs="黑体"/>
          <w:b w:val="0"/>
          <w:bCs w:val="0"/>
          <w:snapToGrid/>
          <w:color w:val="auto"/>
          <w:kern w:val="2"/>
          <w:sz w:val="32"/>
          <w:szCs w:val="32"/>
          <w:lang w:val="en-US" w:eastAsia="zh-CN" w:bidi="ar-SA"/>
        </w:rPr>
      </w:pPr>
      <w:r>
        <w:rPr>
          <w:rFonts w:hint="eastAsia" w:ascii="黑体" w:hAnsi="黑体" w:eastAsia="黑体" w:cs="黑体"/>
          <w:b w:val="0"/>
          <w:bCs w:val="0"/>
          <w:snapToGrid/>
          <w:color w:val="auto"/>
          <w:kern w:val="2"/>
          <w:sz w:val="32"/>
          <w:szCs w:val="32"/>
          <w:lang w:val="en-US" w:eastAsia="zh-CN" w:bidi="ar-SA"/>
        </w:rPr>
        <w:t>三、具体工作流程</w:t>
      </w:r>
    </w:p>
    <w:p w14:paraId="57EF3305">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1.立案阶段</w:t>
      </w:r>
    </w:p>
    <w:p w14:paraId="0EE792EC">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线索收集：通过投诉举报、日常巡查、上级交办、部门移送等渠道收集违法建设案件线索。</w:t>
      </w:r>
    </w:p>
    <w:p w14:paraId="75451DD1">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线索初核：承办单位对案件线索开展初步核查，甄别违法行为是否属于本机关管辖范围、是否满足立案条件。</w:t>
      </w:r>
    </w:p>
    <w:p w14:paraId="4001122A">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立案审批：经核查，初步认定存在违法事实且依法应当给予行政处罚的，按程序履行立案审批手续，确定案件主办、协办办案人员。</w:t>
      </w:r>
    </w:p>
    <w:p w14:paraId="551C32AE">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2.调查取证阶段</w:t>
      </w:r>
    </w:p>
    <w:p w14:paraId="47533AC9">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现场勘查取证：执法人员不得少于二人，执法时应当主动出示行政执法证件；赴违法建设现场开展检查勘验，通过影像拍摄、实地丈量等方式固定证据，依法制作《现场检查笔录》、《勘验笔录》；对当事人、利害关系人、相关证人开展询问调查，查清违法建设开工时间、建设用途、建设动因等案件事实，制作《询问笔录》。</w:t>
      </w:r>
    </w:p>
    <w:p w14:paraId="528B5645">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专业技术认定：根据案件办理需要，函请自然资源、城乡规划等主管部门出具规划核查或技术认定意见，判定涉案建（构）筑物是否违反规划管控要求。</w:t>
      </w:r>
    </w:p>
    <w:p w14:paraId="58B63881">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调查终结报告：全部调查取证工作完成后，办案人员撰写《案件调查终结报告》，载明案件来源、违法事实、核查经过、证据材料、处理建议等内容。</w:t>
      </w:r>
    </w:p>
    <w:p w14:paraId="49F9FF98">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3.审查决定阶段</w:t>
      </w:r>
    </w:p>
    <w:p w14:paraId="6998DF1F">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行政处罚预 先告知：经核查认定涉案建筑构成违法建设的，执法机关依法向当事人送达《行政处罚事先告知书》或《限期拆除事先告知书》，载明拟作出行政处罚的事实、理由、法律依据及处罚内容，同时告知当事人享有陈述、申辩以及申请听证的法定权利。</w:t>
      </w:r>
    </w:p>
    <w:p w14:paraId="3F1E0886">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听取陈述申辩与组织听证：充分保障当事人陈述、申辩权利，对当事人提出的事实、理由及证据予以复核；限期拆除属于较重行政处罚事项，应当告知当事人享有听证权利。当事人提出听证申请的，行政机关依法组织听证，听证由非本案调查人员主持，保障当事人程序权益。</w:t>
      </w:r>
    </w:p>
    <w:p w14:paraId="076F113B">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法制审核：由执法机关法制审核机构对案件开展合法性审核，重点审查案件事实是否清楚、证据是否确凿充分、办案程序是否合法、法律适用是否准确、裁量是否适当。</w:t>
      </w:r>
    </w:p>
    <w:p w14:paraId="1A6DEBF2">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文书作出与送达：综合调查结果、法制审核意见以及相关法律法规规定，对已查实的违法建设作出《行政处罚决定书》或者《限期拆除违法建筑决定书》，文书载明违法事实、法律依据、处理决定、履行期限以及当事人申请行政复议、提起行政诉讼的途径和期限等救济事项，并依法送达当事人。</w:t>
      </w:r>
    </w:p>
    <w:p w14:paraId="631B0A7D">
      <w:pPr>
        <w:keepNext w:val="0"/>
        <w:keepLines w:val="0"/>
        <w:pageBreakBefore w:val="0"/>
        <w:widowControl w:val="0"/>
        <w:kinsoku/>
        <w:wordWrap/>
        <w:overflowPunct w:val="0"/>
        <w:topLinePunct w:val="0"/>
        <w:autoSpaceDE/>
        <w:autoSpaceDN/>
        <w:bidi w:val="0"/>
        <w:adjustRightInd/>
        <w:snapToGrid/>
        <w:spacing w:line="540" w:lineRule="exact"/>
        <w:ind w:left="0" w:leftChars="0" w:right="0" w:rightChars="0"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4.强制执行阶段</w:t>
      </w:r>
    </w:p>
    <w:p w14:paraId="3830BA7F">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根据《中华人民共和国行政强制法》第四十四条，对违法的建筑物、构筑物、设施等需要强制拆除的，应当由行政机关予以公告，限期当事人自行拆除。当事人在法定期限内不申请行政复议或者提起行政诉讼，又不拆除的，行政机关可以依法强制拆除。</w:t>
      </w:r>
    </w:p>
    <w:p w14:paraId="6DA3684A">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（1）无法采取拆除措施消除规划影响的，当事人收到《行政处罚决定书》后，应当在决定书载明的期限内足额缴纳罚款，按期履行金钱给付类处罚决定。</w:t>
      </w:r>
    </w:p>
    <w:p w14:paraId="1076C97B">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（2）需通过拆除消除规划影响的，按行政强制程序执行：</w:t>
      </w:r>
    </w:p>
    <w:p w14:paraId="62180631">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书面催告：当事人逾期未自行拆除违法建设的，行政机关向其送达《催告书》，催告当事人限期履行自行拆除义务，载明逾期不履行的法律后果，并告知当事人享有陈述和申辩权利。</w:t>
      </w:r>
    </w:p>
    <w:p w14:paraId="041636A9">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作出强制执行决定：经催告，当事人仍未履行拆除义务，且在法定期限内既未申请行政复议，也未提起行政诉讼的，行政机关依法作出《强制拆除决定书》。</w:t>
      </w:r>
    </w:p>
    <w:p w14:paraId="60E8FA5C">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发布强制拆除公告：行政机关发布强制拆除公告，可张贴于违法建设现场及周边显著位置，也可通过官方媒体等途径对外公示，公告应当载明强制拆除的实施时间、地点、法律依据等事项。</w:t>
      </w:r>
    </w:p>
    <w:p w14:paraId="75FEF49A">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实施行政强制执行：公告期限届满后，当事人仍未自行拆除的，行政机关依法组织实施强制拆除。实施拆除过程中，做好现场证据保全、财物清点登记等工作，保障强制拆除工作依法、稳妥、有序开展。</w:t>
      </w:r>
    </w:p>
    <w:p w14:paraId="3EC6A684">
      <w:pPr>
        <w:pageBreakBefore w:val="0"/>
        <w:widowControl w:val="0"/>
        <w:numPr>
          <w:ilvl w:val="0"/>
          <w:numId w:val="0"/>
        </w:numPr>
        <w:kinsoku/>
        <w:wordWrap/>
        <w:overflowPunct w:val="0"/>
        <w:topLinePunct w:val="0"/>
        <w:autoSpaceDE/>
        <w:autoSpaceDN/>
        <w:bidi w:val="0"/>
        <w:adjustRightInd/>
        <w:snapToGrid/>
        <w:spacing w:line="540" w:lineRule="exact"/>
        <w:ind w:left="630" w:leftChars="0" w:right="0" w:rightChars="0"/>
        <w:jc w:val="both"/>
        <w:textAlignment w:val="auto"/>
        <w:rPr>
          <w:rFonts w:hint="eastAsia" w:ascii="仿宋_GB2312" w:hAnsi="仿宋_GB2312" w:eastAsia="仿宋_GB2312" w:cs="仿宋_GB2312"/>
          <w:b/>
          <w:bCs/>
          <w:snapToGrid/>
          <w:color w:val="auto"/>
          <w:kern w:val="2"/>
          <w:sz w:val="32"/>
          <w:szCs w:val="32"/>
          <w:lang w:val="en-US" w:eastAsia="zh-CN" w:bidi="ar-SA"/>
        </w:rPr>
      </w:pPr>
      <w:r>
        <w:rPr>
          <w:rFonts w:hint="eastAsia" w:ascii="仿宋_GB2312" w:hAnsi="仿宋_GB2312" w:eastAsia="仿宋_GB2312" w:cs="仿宋_GB2312"/>
          <w:b/>
          <w:bCs/>
          <w:snapToGrid/>
          <w:color w:val="auto"/>
          <w:kern w:val="2"/>
          <w:sz w:val="32"/>
          <w:szCs w:val="32"/>
          <w:lang w:val="en-US" w:eastAsia="zh-CN" w:bidi="ar-SA"/>
        </w:rPr>
        <w:t>四、后续工作安排</w:t>
      </w:r>
    </w:p>
    <w:p w14:paraId="692C9389">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监督检查：加强拆除后巡查管控，对违法建筑拆除落实情况开展监督检查，确保拆除工作执行到位，严防违法建设问题反弹回潮。一经发现当事人存在违规重建行为，依法启动处置程序，再次予以拆除。</w:t>
      </w:r>
    </w:p>
    <w:p w14:paraId="23BA5CB2">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r>
        <w:rPr>
          <w:rFonts w:hint="eastAsia" w:ascii="仿宋_GB2312" w:hAnsi="仿宋_GB2312" w:eastAsia="仿宋_GB2312" w:cs="仿宋_GB2312"/>
          <w:snapToGrid/>
          <w:color w:val="auto"/>
          <w:kern w:val="2"/>
          <w:sz w:val="32"/>
          <w:szCs w:val="32"/>
          <w:lang w:val="en-US" w:eastAsia="zh-CN"/>
        </w:rPr>
        <w:t>资料归档：对案件查办全过程形成的执法文书、证据材料等资料进行全面收集、规范整理并立卷归档，妥善保管，以备查阅、复查及后续监管使用。</w:t>
      </w:r>
    </w:p>
    <w:p w14:paraId="1C08DB77">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p>
    <w:p w14:paraId="29D77416">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p>
    <w:p w14:paraId="03A2C7A1">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p>
    <w:p w14:paraId="4DFD18A2">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p>
    <w:p w14:paraId="0F2BDAB1">
      <w:pPr>
        <w:pageBreakBefore w:val="0"/>
        <w:widowControl w:val="0"/>
        <w:kinsoku/>
        <w:wordWrap/>
        <w:overflowPunct w:val="0"/>
        <w:topLinePunct w:val="0"/>
        <w:autoSpaceDE/>
        <w:autoSpaceDN/>
        <w:bidi w:val="0"/>
        <w:adjustRightInd/>
        <w:snapToGrid/>
        <w:spacing w:line="540" w:lineRule="exact"/>
        <w:ind w:left="0" w:leftChars="0" w:right="0" w:rightChars="0" w:firstLine="640" w:firstLineChars="200"/>
        <w:jc w:val="both"/>
        <w:textAlignment w:val="auto"/>
        <w:rPr>
          <w:rFonts w:hint="eastAsia" w:ascii="仿宋_GB2312" w:hAnsi="仿宋_GB2312" w:eastAsia="仿宋_GB2312" w:cs="仿宋_GB2312"/>
          <w:snapToGrid/>
          <w:color w:val="auto"/>
          <w:kern w:val="2"/>
          <w:sz w:val="32"/>
          <w:szCs w:val="32"/>
          <w:lang w:val="en-US" w:eastAsia="zh-CN"/>
        </w:rPr>
      </w:pPr>
    </w:p>
    <w:p w14:paraId="73B8FC5F">
      <w:pPr>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hint="eastAsia" w:ascii="仿宋_GB2312" w:hAnsi="仿宋_GB2312" w:eastAsia="仿宋_GB2312" w:cs="仿宋_GB2312"/>
          <w:snapToGrid/>
          <w:color w:val="auto"/>
          <w:kern w:val="2"/>
          <w:sz w:val="32"/>
          <w:szCs w:val="32"/>
          <w:lang w:val="en-US" w:eastAsia="zh-CN"/>
        </w:rPr>
      </w:pPr>
      <w:r>
        <w:rPr>
          <w:rFonts w:hint="eastAsia" w:ascii="仿宋" w:hAnsi="仿宋" w:eastAsia="仿宋" w:cs="仿宋"/>
          <w:sz w:val="32"/>
          <w:szCs w:val="32"/>
          <w:lang w:val="en-US" w:eastAsia="zh-CN"/>
        </w:rPr>
        <w:t xml:space="preserve"> </w:t>
      </w: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大标宋简体">
    <w:altName w:val="方正书宋_GBK"/>
    <w:panose1 w:val="02010601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25CC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EE5259">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DEE5259">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F6D035"/>
    <w:multiLevelType w:val="singleLevel"/>
    <w:tmpl w:val="5EF6D035"/>
    <w:lvl w:ilvl="0" w:tentative="0">
      <w:start w:val="1"/>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430AAC"/>
    <w:rsid w:val="035E2B6B"/>
    <w:rsid w:val="1D4A24CD"/>
    <w:rsid w:val="1F0667D7"/>
    <w:rsid w:val="24CA5515"/>
    <w:rsid w:val="25430AAC"/>
    <w:rsid w:val="2681365A"/>
    <w:rsid w:val="278B2784"/>
    <w:rsid w:val="303211AE"/>
    <w:rsid w:val="380A05F1"/>
    <w:rsid w:val="3FBC6EAF"/>
    <w:rsid w:val="436A78AB"/>
    <w:rsid w:val="43A85B37"/>
    <w:rsid w:val="4737083E"/>
    <w:rsid w:val="48963718"/>
    <w:rsid w:val="4D185C09"/>
    <w:rsid w:val="4F4F0B87"/>
    <w:rsid w:val="50243DC2"/>
    <w:rsid w:val="5CD64696"/>
    <w:rsid w:val="69D57004"/>
    <w:rsid w:val="6E377A1F"/>
    <w:rsid w:val="6EE4427D"/>
    <w:rsid w:val="763D39D7"/>
    <w:rsid w:val="782A3846"/>
    <w:rsid w:val="7BE86353"/>
    <w:rsid w:val="7C7575D0"/>
    <w:rsid w:val="7FB7A597"/>
    <w:rsid w:val="BF1DAE16"/>
    <w:rsid w:val="FEE0F4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0"/>
      <w:szCs w:val="30"/>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2193</Words>
  <Characters>2217</Characters>
  <Lines>0</Lines>
  <Paragraphs>0</Paragraphs>
  <TotalTime>15</TotalTime>
  <ScaleCrop>false</ScaleCrop>
  <LinksUpToDate>false</LinksUpToDate>
  <CharactersWithSpaces>2253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2026-08-18T15:49:00Z</dcterms:created>
  <dc:creator>dream.</dc:creator>
  <cp:lastModifiedBy>lenovo</cp:lastModifiedBy>
  <cp:lastPrinted>2026-09-01T16:24:00Z</cp:lastPrinted>
  <dcterms:modified xsi:type="dcterms:W3CDTF">2026-09-10T09:34:21Z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F6069B74087642FC840D77620491CC63_13</vt:lpwstr>
  </property>
  <property fmtid="{D5CDD505-2E9C-101B-9397-08002B2CF9AE}" pid="4" name="KSOTemplateDocerSaveRecord">
    <vt:lpwstr>eyJoZGlkIjoiMzI3ZTYwNGM3YzQxOThkNDIxMjc5MzM4ZmRlNGEwYTgiLCJ1c2VySWQiOiIxNTk4Mzc2NDM2In0=</vt:lpwstr>
  </property>
</Properties>
</file>