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hint="eastAsia" w:ascii="Times New Roman" w:hAnsi="Times New Roman" w:eastAsia="方正小标宋简体" w:cs="Times New Roman"/>
          <w:sz w:val="72"/>
          <w:szCs w:val="72"/>
          <w:lang w:eastAsia="zh-CN"/>
        </w:rPr>
      </w:pPr>
      <w:r>
        <w:rPr>
          <w:rFonts w:ascii="Times New Roman" w:hAnsi="Times New Roman" w:eastAsia="方正小标宋简体" w:cs="Times New Roman"/>
          <w:sz w:val="72"/>
          <w:szCs w:val="72"/>
        </w:rPr>
        <w:t>（</w:t>
      </w:r>
      <w:r>
        <w:rPr>
          <w:rFonts w:hint="eastAsia" w:ascii="Times New Roman" w:hAnsi="Times New Roman" w:eastAsia="方正小标宋简体" w:cs="Times New Roman"/>
          <w:sz w:val="72"/>
          <w:szCs w:val="72"/>
          <w:lang w:eastAsia="zh-CN"/>
        </w:rPr>
        <w:t>永州市生态环境局</w:t>
      </w:r>
    </w:p>
    <w:p>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eastAsia="zh-CN"/>
        </w:rPr>
        <w:t>蓝山分局</w:t>
      </w:r>
      <w:r>
        <w:rPr>
          <w:rFonts w:ascii="Times New Roman" w:hAnsi="Times New Roman" w:eastAsia="方正小标宋简体" w:cs="Times New Roman"/>
          <w:sz w:val="72"/>
          <w:szCs w:val="72"/>
        </w:rPr>
        <w:t>）部门决算</w:t>
      </w: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（永州市生态环境局蓝山分局）</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（永州市生态环境局蓝山分局）</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hint="eastAsia" w:ascii="Times New Roman" w:hAnsi="Times New Roman" w:eastAsia="黑体" w:cs="Times New Roman"/>
          <w:sz w:val="32"/>
          <w:szCs w:val="32"/>
        </w:rPr>
      </w:pPr>
    </w:p>
    <w:p>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（一）贯彻执行国家和省环境保护方针、政策和法律、法规；拟订全县环境保护规划、规范性文件并监督实施。</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（二）负责环境问题的统筹协调和监督管理。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（三）承担落实全县减排目标的责任。</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（四）负责提出全县环境保护领域固定资产投资规模和方向、市级财政性资金安排的建议；参与指导和推动全县循环经济与环保产业发展。</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（五）负责从源头上预防、控制环境污染和环境破坏的责任。</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（六）负责全县环境污染防治的监督管理。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（七）指导、协调、监督全县生态保护工作。</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（八）负责全县核事故应急管理工作以及核安全和辐射安全的监督管理。</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（九）负责全县环境监测和信息发布。</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开展环境保护科技工作，组织开展环境保护科学研究和技术工程示范，推动环境技术管理体系建设，组织县级环境保护科技成果的交流和推广；提出全县环境保护对外合作交流中有关问题的建议，开展对外环境保护信息交流工作，参与处理涉外环境保护事务。</w:t>
      </w:r>
    </w:p>
    <w:p>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（十一）组织、指导和协调全县环境保护宣传教育工作，开展生态文明建设和环境友好型社会建设的有关宣传教育工作，推动社会公众和社会组织参与环境保护。</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（十二）承办市局交办的其他事项。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内设机构包括：办公室、污染防治监督股、环境影响评价与排放管理股。根据中共永州市委机构编制委员会办公室文件（永编办发[2022]14号），永州市生态环境局蓝山分局所属事业单位有：永州市蓝山县生态环境保护综合行政执法大队、永州市蓝山生态环境监测站、蓝山县固体废物与辐射管理站、蓝山县生态环境事务中心。</w:t>
      </w:r>
    </w:p>
    <w:p>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全局实有人数4</w:t>
      </w:r>
      <w:r>
        <w:rPr>
          <w:rFonts w:hint="eastAsia" w:ascii="Times New Roman" w:hAnsi="Times New Roman" w:eastAsia="仿宋_GB2312" w:cs="Times New Roman"/>
          <w:bCs/>
          <w:kern w:val="0"/>
          <w:sz w:val="32"/>
          <w:szCs w:val="32"/>
          <w:lang w:val="en-US" w:eastAsia="zh-CN"/>
        </w:rPr>
        <w:t>5</w:t>
      </w:r>
      <w:r>
        <w:rPr>
          <w:rFonts w:hint="eastAsia" w:ascii="Times New Roman" w:hAnsi="Times New Roman" w:eastAsia="仿宋_GB2312" w:cs="Times New Roman"/>
          <w:bCs/>
          <w:kern w:val="0"/>
          <w:sz w:val="32"/>
          <w:szCs w:val="32"/>
        </w:rPr>
        <w:t>人。其中：局机关核定编制总数6人（行政编），实有</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人。所属机构：</w:t>
      </w:r>
    </w:p>
    <w:p>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①永州市蓝山县生态环境保护综合行政执法大队。核定编制总数25人，实有1</w:t>
      </w:r>
      <w:r>
        <w:rPr>
          <w:rFonts w:hint="eastAsia" w:ascii="Times New Roman" w:hAnsi="Times New Roman" w:eastAsia="仿宋_GB2312" w:cs="Times New Roman"/>
          <w:bCs/>
          <w:kern w:val="0"/>
          <w:sz w:val="32"/>
          <w:szCs w:val="32"/>
          <w:lang w:val="en-US" w:eastAsia="zh-CN"/>
        </w:rPr>
        <w:t>6</w:t>
      </w:r>
      <w:r>
        <w:rPr>
          <w:rFonts w:hint="eastAsia" w:ascii="Times New Roman" w:hAnsi="Times New Roman" w:eastAsia="仿宋_GB2312" w:cs="Times New Roman"/>
          <w:bCs/>
          <w:kern w:val="0"/>
          <w:sz w:val="32"/>
          <w:szCs w:val="32"/>
        </w:rPr>
        <w:t>人（其中部门领导职数1人，实配1人）。</w:t>
      </w:r>
    </w:p>
    <w:p>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②永州市蓝山生态环境监测站。核定编制总数13人，实有1</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人。</w:t>
      </w:r>
    </w:p>
    <w:p>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③蓝山县固体废物与辐射管理站。核定编制总数6人，实有6人。</w:t>
      </w:r>
    </w:p>
    <w:p>
      <w:p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④蓝山县生态环境事务中心。核定编制总数5人，实有5人。</w:t>
      </w:r>
    </w:p>
    <w:p>
      <w:pPr>
        <w:numPr>
          <w:ilvl w:val="0"/>
          <w:numId w:val="1"/>
        </w:numPr>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决算单位构成。</w:t>
      </w:r>
    </w:p>
    <w:p>
      <w:pPr>
        <w:numPr>
          <w:ilvl w:val="0"/>
          <w:numId w:val="0"/>
        </w:numPr>
        <w:ind w:firstLine="64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年部门决算汇总公开单位构成包括：永州市生态环境局蓝山分局本级以及永州市蓝山县生态环境保护综合行政执法大队、永州市蓝山生态环境监测站、蓝山县固体废物与辐射管理站、蓝山县生态环境事务中心。</w:t>
      </w:r>
    </w:p>
    <w:p>
      <w:pPr>
        <w:jc w:val="both"/>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474" w:bottom="1417" w:left="1474" w:header="851" w:footer="992" w:gutter="0"/>
          <w:pgNumType w:start="1"/>
          <w:cols w:space="0" w:num="1"/>
          <w:rtlGutter w:val="0"/>
          <w:docGrid w:type="lines" w:linePitch="312" w:charSpace="0"/>
        </w:sect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both"/>
        <w:rPr>
          <w:rFonts w:hint="eastAsia" w:ascii="Times New Roman" w:hAnsi="Times New Roman" w:eastAsia="方正小标宋_GBK" w:cs="Times New Roman"/>
          <w:sz w:val="52"/>
          <w:szCs w:val="52"/>
          <w:lang w:eastAsia="zh-CN"/>
        </w:rPr>
      </w:pPr>
    </w:p>
    <w:p>
      <w:pPr>
        <w:pStyle w:val="14"/>
        <w:numPr>
          <w:ilvl w:val="0"/>
          <w:numId w:val="0"/>
        </w:num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第二部分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部门决算表</w:t>
      </w:r>
    </w:p>
    <w:p>
      <w:pPr>
        <w:pStyle w:val="14"/>
        <w:spacing w:line="360" w:lineRule="auto"/>
        <w:jc w:val="center"/>
        <w:rPr>
          <w:rFonts w:ascii="Times New Roman" w:hAnsi="Times New Roman" w:eastAsia="方正小标宋_GBK" w:cs="Times New Roman"/>
          <w:sz w:val="52"/>
          <w:szCs w:val="52"/>
        </w:rPr>
      </w:pPr>
      <w:r>
        <w:rPr>
          <w:rFonts w:hint="eastAsia" w:ascii="楷体_GB2312" w:hAnsi="楷体_GB2312" w:eastAsia="楷体_GB2312" w:cs="楷体_GB2312"/>
          <w:b/>
          <w:bCs/>
          <w:color w:val="000000"/>
          <w:kern w:val="0"/>
          <w:sz w:val="52"/>
          <w:szCs w:val="52"/>
          <w:lang w:val="en-US" w:eastAsia="zh-CN" w:bidi="ar-SA"/>
        </w:rPr>
        <w:t>（详见附表）</w:t>
      </w: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both"/>
        <w:rPr>
          <w:rFonts w:ascii="Times New Roman" w:hAnsi="Times New Roman" w:eastAsia="方正小标宋_GBK" w:cs="Times New Roman"/>
          <w:sz w:val="52"/>
          <w:szCs w:val="52"/>
        </w:rPr>
      </w:pPr>
    </w:p>
    <w:p>
      <w:pPr>
        <w:pStyle w:val="14"/>
        <w:spacing w:line="360" w:lineRule="auto"/>
        <w:jc w:val="both"/>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年度收入总计677.57万元。与上年相比，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15.99万元，</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2.31</w:t>
      </w:r>
      <w:r>
        <w:rPr>
          <w:rFonts w:hint="eastAsia"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在职人员减少</w:t>
      </w:r>
      <w:r>
        <w:rPr>
          <w:rFonts w:hint="eastAsia" w:ascii="Times New Roman" w:hAnsi="Times New Roman" w:eastAsia="仿宋_GB2312" w:cs="Times New Roman"/>
          <w:sz w:val="32"/>
          <w:szCs w:val="32"/>
          <w:lang w:val="en-US" w:eastAsia="zh-CN"/>
        </w:rPr>
        <w:t>2人，基本监测经费收入</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减少6.71万元</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年度支出总计677.57万元。与上年相比，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15.99万元，</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2.31</w:t>
      </w:r>
      <w:r>
        <w:rPr>
          <w:rFonts w:hint="eastAsia" w:ascii="Times New Roman" w:hAnsi="Times New Roman" w:eastAsia="仿宋_GB2312" w:cs="Times New Roman"/>
          <w:sz w:val="32"/>
          <w:szCs w:val="32"/>
        </w:rPr>
        <w:t>%，主要是因为工资福利支出增加15.43万元，商品和服务支出减少</w:t>
      </w:r>
      <w:r>
        <w:rPr>
          <w:rFonts w:hint="eastAsia" w:ascii="Times New Roman" w:hAnsi="Times New Roman" w:eastAsia="仿宋_GB2312" w:cs="Times New Roman"/>
          <w:sz w:val="32"/>
          <w:szCs w:val="32"/>
          <w:lang w:val="en-US" w:eastAsia="zh-CN"/>
        </w:rPr>
        <w:t>46.68</w:t>
      </w:r>
      <w:r>
        <w:rPr>
          <w:rFonts w:hint="eastAsia" w:ascii="Times New Roman" w:hAnsi="Times New Roman" w:eastAsia="仿宋_GB2312" w:cs="Times New Roman"/>
          <w:sz w:val="32"/>
          <w:szCs w:val="32"/>
        </w:rPr>
        <w:t>万元，对个人和家庭的补助减少</w:t>
      </w:r>
      <w:r>
        <w:rPr>
          <w:rFonts w:hint="eastAsia" w:ascii="Times New Roman" w:hAnsi="Times New Roman" w:eastAsia="仿宋_GB2312" w:cs="Times New Roman"/>
          <w:sz w:val="32"/>
          <w:szCs w:val="32"/>
          <w:lang w:val="en-US" w:eastAsia="zh-CN"/>
        </w:rPr>
        <w:t>0.66</w:t>
      </w:r>
      <w:r>
        <w:rPr>
          <w:rFonts w:hint="eastAsia" w:ascii="Times New Roman" w:hAnsi="Times New Roman" w:eastAsia="仿宋_GB2312" w:cs="Times New Roman"/>
          <w:sz w:val="32"/>
          <w:szCs w:val="32"/>
        </w:rPr>
        <w:t>万元，资本性支出（办公设备购置）增加1</w:t>
      </w:r>
      <w:r>
        <w:rPr>
          <w:rFonts w:hint="eastAsia" w:ascii="Times New Roman" w:hAnsi="Times New Roman" w:eastAsia="仿宋_GB2312" w:cs="Times New Roman"/>
          <w:sz w:val="32"/>
          <w:szCs w:val="32"/>
          <w:lang w:val="en-US" w:eastAsia="zh-CN"/>
        </w:rPr>
        <w:t>2.92</w:t>
      </w:r>
      <w:r>
        <w:rPr>
          <w:rFonts w:hint="eastAsia"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550.49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81.24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127.09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18.76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15.99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在职人员减少</w:t>
      </w:r>
      <w:r>
        <w:rPr>
          <w:rFonts w:hint="eastAsia" w:ascii="Times New Roman" w:hAnsi="Times New Roman" w:eastAsia="仿宋_GB2312" w:cs="Times New Roman"/>
          <w:sz w:val="32"/>
          <w:szCs w:val="32"/>
          <w:lang w:val="en-US" w:eastAsia="zh-CN"/>
        </w:rPr>
        <w:t>2人，基本监测经费收入</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减少6.71万元</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总</w:t>
      </w:r>
      <w:r>
        <w:rPr>
          <w:rFonts w:hint="eastAsia" w:ascii="Times New Roman" w:hAnsi="Times New Roman" w:eastAsia="仿宋_GB2312" w:cs="Times New Roman"/>
          <w:sz w:val="32"/>
          <w:szCs w:val="32"/>
        </w:rPr>
        <w:t>计677.57万元。与上年相比，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15.99万元，</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2.31</w:t>
      </w:r>
      <w:r>
        <w:rPr>
          <w:rFonts w:hint="eastAsia" w:ascii="Times New Roman" w:hAnsi="Times New Roman" w:eastAsia="仿宋_GB2312" w:cs="Times New Roman"/>
          <w:sz w:val="32"/>
          <w:szCs w:val="32"/>
        </w:rPr>
        <w:t>%，主要是因为工资福利支出增加15.43万元，商品和服务支出减少</w:t>
      </w:r>
      <w:r>
        <w:rPr>
          <w:rFonts w:hint="eastAsia" w:ascii="Times New Roman" w:hAnsi="Times New Roman" w:eastAsia="仿宋_GB2312" w:cs="Times New Roman"/>
          <w:sz w:val="32"/>
          <w:szCs w:val="32"/>
          <w:lang w:val="en-US" w:eastAsia="zh-CN"/>
        </w:rPr>
        <w:t>46.68</w:t>
      </w:r>
      <w:r>
        <w:rPr>
          <w:rFonts w:hint="eastAsia" w:ascii="Times New Roman" w:hAnsi="Times New Roman" w:eastAsia="仿宋_GB2312" w:cs="Times New Roman"/>
          <w:sz w:val="32"/>
          <w:szCs w:val="32"/>
        </w:rPr>
        <w:t>万元，对个人和家庭的补助减少</w:t>
      </w:r>
      <w:r>
        <w:rPr>
          <w:rFonts w:hint="eastAsia" w:ascii="Times New Roman" w:hAnsi="Times New Roman" w:eastAsia="仿宋_GB2312" w:cs="Times New Roman"/>
          <w:sz w:val="32"/>
          <w:szCs w:val="32"/>
          <w:lang w:val="en-US" w:eastAsia="zh-CN"/>
        </w:rPr>
        <w:t>0.66</w:t>
      </w:r>
      <w:r>
        <w:rPr>
          <w:rFonts w:hint="eastAsia" w:ascii="Times New Roman" w:hAnsi="Times New Roman" w:eastAsia="仿宋_GB2312" w:cs="Times New Roman"/>
          <w:sz w:val="32"/>
          <w:szCs w:val="32"/>
        </w:rPr>
        <w:t>万元，资本性支出（办公设备购置）增加1</w:t>
      </w:r>
      <w:r>
        <w:rPr>
          <w:rFonts w:hint="eastAsia" w:ascii="Times New Roman" w:hAnsi="Times New Roman" w:eastAsia="仿宋_GB2312" w:cs="Times New Roman"/>
          <w:sz w:val="32"/>
          <w:szCs w:val="32"/>
          <w:lang w:val="en-US" w:eastAsia="zh-CN"/>
        </w:rPr>
        <w:t>2.92</w:t>
      </w:r>
      <w:r>
        <w:rPr>
          <w:rFonts w:hint="eastAsia"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15.99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机关事业单位基本养老保险缴费支出减少</w:t>
      </w:r>
      <w:r>
        <w:rPr>
          <w:rFonts w:hint="eastAsia" w:ascii="Times New Roman" w:hAnsi="Times New Roman" w:eastAsia="仿宋_GB2312" w:cs="Times New Roman"/>
          <w:sz w:val="32"/>
          <w:szCs w:val="32"/>
          <w:lang w:val="en-US" w:eastAsia="zh-CN"/>
        </w:rPr>
        <w:t>0.43</w:t>
      </w:r>
      <w:r>
        <w:rPr>
          <w:rFonts w:hint="eastAsia" w:ascii="Times New Roman" w:hAnsi="Times New Roman" w:eastAsia="仿宋_GB2312" w:cs="Times New Roman"/>
          <w:sz w:val="32"/>
          <w:szCs w:val="32"/>
        </w:rPr>
        <w:t>万元，行政单位医疗减少0.</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万元，行政运行</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15.12</w:t>
      </w:r>
      <w:r>
        <w:rPr>
          <w:rFonts w:hint="eastAsia" w:ascii="Times New Roman" w:hAnsi="Times New Roman" w:eastAsia="仿宋_GB2312" w:cs="Times New Roman"/>
          <w:sz w:val="32"/>
          <w:szCs w:val="32"/>
        </w:rPr>
        <w:t>万元，其他环境保护管理事务支出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20.02</w:t>
      </w:r>
      <w:r>
        <w:rPr>
          <w:rFonts w:hint="eastAsia" w:ascii="Times New Roman" w:hAnsi="Times New Roman" w:eastAsia="仿宋_GB2312" w:cs="Times New Roman"/>
          <w:sz w:val="32"/>
          <w:szCs w:val="32"/>
        </w:rPr>
        <w:t>万元，水体</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9.97万元，住房公积金</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43</w:t>
      </w:r>
      <w:r>
        <w:rPr>
          <w:rFonts w:hint="eastAsia"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ind w:firstLine="640" w:firstLineChars="200"/>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lang w:val="en-US" w:eastAsia="zh-CN"/>
        </w:rPr>
        <w:t>社会保障和就业支出（类）</w:t>
      </w:r>
      <w:r>
        <w:rPr>
          <w:rFonts w:hint="eastAsia" w:ascii="Times New Roman" w:hAnsi="Times New Roman" w:eastAsia="仿宋_GB2312"/>
          <w:sz w:val="32"/>
          <w:szCs w:val="32"/>
          <w:lang w:eastAsia="zh-CN"/>
        </w:rPr>
        <w:t>5</w:t>
      </w:r>
      <w:r>
        <w:rPr>
          <w:rFonts w:hint="eastAsia" w:ascii="Times New Roman" w:hAnsi="Times New Roman" w:eastAsia="仿宋_GB2312"/>
          <w:sz w:val="32"/>
          <w:szCs w:val="32"/>
          <w:lang w:val="en-US" w:eastAsia="zh-CN"/>
        </w:rPr>
        <w:t>6.90</w:t>
      </w:r>
      <w:r>
        <w:rPr>
          <w:rFonts w:hint="eastAsia" w:ascii="Times New Roman" w:hAnsi="Times New Roman" w:eastAsia="仿宋_GB2312"/>
          <w:sz w:val="32"/>
          <w:szCs w:val="32"/>
          <w:lang w:eastAsia="zh-CN"/>
        </w:rPr>
        <w:t>万元，占8.</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卫生健康支出（类）</w:t>
      </w:r>
      <w:r>
        <w:rPr>
          <w:rFonts w:hint="eastAsia" w:ascii="Times New Roman" w:hAnsi="Times New Roman" w:eastAsia="仿宋_GB2312"/>
          <w:sz w:val="32"/>
          <w:szCs w:val="32"/>
          <w:lang w:eastAsia="zh-CN"/>
        </w:rPr>
        <w:t>26.</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lang w:eastAsia="zh-CN"/>
        </w:rPr>
        <w:t>万元，占3.8</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节能环保支出（类）548.40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80.93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住房保障支出（类）46.00</w:t>
      </w:r>
      <w:r>
        <w:rPr>
          <w:rFonts w:hint="eastAsia" w:ascii="Times New Roman" w:hAnsi="Times New Roman" w:eastAsia="仿宋_GB2312"/>
          <w:sz w:val="32"/>
          <w:szCs w:val="32"/>
          <w:lang w:eastAsia="zh-CN"/>
        </w:rPr>
        <w:t>万元，占6.</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658.86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677.57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102.84</w:t>
      </w:r>
      <w:r>
        <w:rPr>
          <w:rFonts w:ascii="Times New Roman" w:hAnsi="Times New Roman" w:eastAsia="仿宋_GB2312" w:cs="Times New Roman"/>
          <w:sz w:val="32"/>
          <w:szCs w:val="32"/>
        </w:rPr>
        <w:t>%，其中：</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b w:val="0"/>
          <w:bCs w:val="0"/>
          <w:sz w:val="32"/>
          <w:szCs w:val="32"/>
        </w:rPr>
        <w:t>社会保障和就业支出（类）行政事业单位养老支出（款）机关事业单位基本养老保险缴费支出（项）。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lang w:eastAsia="zh-CN"/>
        </w:rPr>
        <w:t>57.86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56.9</w:t>
      </w:r>
      <w:r>
        <w:rPr>
          <w:rFonts w:hint="eastAsia" w:ascii="Times New Roman" w:hAnsi="Times New Roman" w:eastAsia="仿宋_GB2312"/>
          <w:sz w:val="32"/>
          <w:szCs w:val="32"/>
        </w:rPr>
        <w:t>万元，完成年初预算的</w:t>
      </w:r>
      <w:r>
        <w:rPr>
          <w:rFonts w:hint="default" w:ascii="Times New Roman" w:hAnsi="Times New Roman" w:eastAsia="仿宋_GB2312"/>
          <w:sz w:val="32"/>
          <w:szCs w:val="32"/>
          <w:lang w:eastAsia="zh-CN"/>
        </w:rPr>
        <w:t>98.34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有一名职工退休，一名职工调出，使得</w:t>
      </w:r>
      <w:r>
        <w:rPr>
          <w:rFonts w:hint="eastAsia" w:ascii="仿宋_GB2312" w:hAnsi="仿宋_GB2312" w:eastAsia="仿宋_GB2312" w:cs="仿宋_GB2312"/>
          <w:b w:val="0"/>
          <w:bCs w:val="0"/>
          <w:sz w:val="32"/>
          <w:szCs w:val="32"/>
        </w:rPr>
        <w:t>机关事业单位基本养老保险缴费支出</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b w:val="0"/>
          <w:bCs w:val="0"/>
          <w:sz w:val="32"/>
          <w:szCs w:val="32"/>
          <w:lang w:val="en-US" w:eastAsia="zh-CN"/>
        </w:rPr>
        <w:t>0.9</w:t>
      </w:r>
      <w:r>
        <w:rPr>
          <w:rFonts w:hint="eastAsia" w:ascii="仿宋_GB2312" w:hAnsi="仿宋_GB2312" w:eastAsia="仿宋_GB2312" w:cs="仿宋_GB2312"/>
          <w:b w:val="0"/>
          <w:bCs w:val="0"/>
          <w:sz w:val="32"/>
          <w:szCs w:val="32"/>
          <w:lang w:eastAsia="zh-CN"/>
        </w:rPr>
        <w:t>6万元。</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卫生健康支出（类）行政事业单位医疗（款）行政单位医疗（项）。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lang w:eastAsia="zh-CN"/>
        </w:rPr>
        <w:t>26.71</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eastAsia="zh-CN"/>
        </w:rPr>
        <w:t>26.27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98.35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有一名职工退休，一名职工调出，使得</w:t>
      </w:r>
      <w:r>
        <w:rPr>
          <w:rFonts w:hint="eastAsia" w:ascii="仿宋_GB2312" w:hAnsi="仿宋_GB2312" w:eastAsia="仿宋_GB2312" w:cs="仿宋_GB2312"/>
          <w:b w:val="0"/>
          <w:bCs w:val="0"/>
          <w:sz w:val="32"/>
          <w:szCs w:val="32"/>
        </w:rPr>
        <w:t>行政单位医疗</w:t>
      </w:r>
      <w:r>
        <w:rPr>
          <w:rFonts w:hint="eastAsia" w:ascii="仿宋_GB2312" w:hAnsi="仿宋_GB2312" w:eastAsia="仿宋_GB2312" w:cs="仿宋_GB2312"/>
          <w:b w:val="0"/>
          <w:bCs w:val="0"/>
          <w:sz w:val="32"/>
          <w:szCs w:val="32"/>
          <w:lang w:eastAsia="zh-CN"/>
        </w:rPr>
        <w:t>支出减少</w:t>
      </w:r>
      <w:r>
        <w:rPr>
          <w:rFonts w:hint="eastAsia" w:ascii="Times New Roman" w:hAnsi="Times New Roman" w:eastAsia="仿宋_GB2312"/>
          <w:sz w:val="32"/>
          <w:szCs w:val="32"/>
          <w:lang w:val="en-US" w:eastAsia="zh-CN"/>
        </w:rPr>
        <w:t>0.44</w:t>
      </w:r>
      <w:r>
        <w:rPr>
          <w:rFonts w:hint="eastAsia" w:ascii="仿宋_GB2312" w:hAnsi="仿宋_GB2312" w:eastAsia="仿宋_GB2312" w:cs="仿宋_GB2312"/>
          <w:b w:val="0"/>
          <w:bCs w:val="0"/>
          <w:sz w:val="32"/>
          <w:szCs w:val="32"/>
          <w:lang w:eastAsia="zh-CN"/>
        </w:rPr>
        <w:t>万元</w:t>
      </w:r>
      <w:r>
        <w:rPr>
          <w:rFonts w:hint="eastAsia" w:ascii="Times New Roman" w:hAnsi="Times New Roman" w:eastAsia="仿宋_GB2312"/>
          <w:sz w:val="32"/>
          <w:szCs w:val="32"/>
          <w:lang w:val="en-US" w:eastAsia="zh-CN"/>
        </w:rPr>
        <w:t>。</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3、节能环保</w:t>
      </w:r>
      <w:r>
        <w:rPr>
          <w:rFonts w:hint="eastAsia" w:ascii="仿宋_GB2312" w:hAnsi="仿宋_GB2312" w:eastAsia="仿宋_GB2312" w:cs="仿宋_GB2312"/>
          <w:b w:val="0"/>
          <w:bCs w:val="0"/>
          <w:sz w:val="32"/>
          <w:szCs w:val="32"/>
        </w:rPr>
        <w:t>支出（类）</w:t>
      </w:r>
      <w:r>
        <w:rPr>
          <w:rFonts w:hint="eastAsia" w:ascii="仿宋_GB2312" w:hAnsi="仿宋_GB2312" w:eastAsia="仿宋_GB2312" w:cs="仿宋_GB2312"/>
          <w:b w:val="0"/>
          <w:bCs w:val="0"/>
          <w:sz w:val="32"/>
          <w:szCs w:val="32"/>
          <w:lang w:eastAsia="zh-CN"/>
        </w:rPr>
        <w:t>环境保护管理事务</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行政运行</w:t>
      </w:r>
      <w:r>
        <w:rPr>
          <w:rFonts w:hint="eastAsia" w:ascii="仿宋_GB2312" w:hAnsi="仿宋_GB2312" w:eastAsia="仿宋_GB2312" w:cs="仿宋_GB2312"/>
          <w:b w:val="0"/>
          <w:bCs w:val="0"/>
          <w:sz w:val="32"/>
          <w:szCs w:val="32"/>
        </w:rPr>
        <w:t>（项）。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lang w:eastAsia="zh-CN"/>
        </w:rPr>
        <w:t>408.51</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eastAsia="zh-CN"/>
        </w:rPr>
        <w:t>421.31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103.13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于年初预算数的主要原因是：工资福利支出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15.03万元，商品和服务支出减少2.09万元，资本性支出增加0.20万元，对个人和家庭的补助减少0.34万元。</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4、节能环保</w:t>
      </w:r>
      <w:r>
        <w:rPr>
          <w:rFonts w:hint="eastAsia" w:ascii="仿宋_GB2312" w:hAnsi="仿宋_GB2312" w:eastAsia="仿宋_GB2312" w:cs="仿宋_GB2312"/>
          <w:b w:val="0"/>
          <w:bCs w:val="0"/>
          <w:sz w:val="32"/>
          <w:szCs w:val="32"/>
        </w:rPr>
        <w:t>支出（类）</w:t>
      </w:r>
      <w:r>
        <w:rPr>
          <w:rFonts w:hint="eastAsia" w:ascii="仿宋_GB2312" w:hAnsi="仿宋_GB2312" w:eastAsia="仿宋_GB2312" w:cs="仿宋_GB2312"/>
          <w:b w:val="0"/>
          <w:bCs w:val="0"/>
          <w:sz w:val="32"/>
          <w:szCs w:val="32"/>
          <w:lang w:eastAsia="zh-CN"/>
        </w:rPr>
        <w:t>环境保护管理事务</w:t>
      </w:r>
      <w:r>
        <w:rPr>
          <w:rFonts w:hint="eastAsia" w:ascii="仿宋_GB2312" w:hAnsi="仿宋_GB2312" w:eastAsia="仿宋_GB2312" w:cs="仿宋_GB2312"/>
          <w:b w:val="0"/>
          <w:bCs w:val="0"/>
          <w:sz w:val="32"/>
          <w:szCs w:val="32"/>
        </w:rPr>
        <w:t>（款）</w:t>
      </w:r>
      <w:r>
        <w:rPr>
          <w:rFonts w:hint="eastAsia" w:ascii="仿宋_GB2312" w:hAnsi="仿宋_GB2312" w:eastAsia="仿宋_GB2312" w:cs="仿宋_GB2312"/>
          <w:b w:val="0"/>
          <w:bCs w:val="0"/>
          <w:sz w:val="32"/>
          <w:szCs w:val="32"/>
          <w:lang w:eastAsia="zh-CN"/>
        </w:rPr>
        <w:t>其他环境保护管理事务支出</w:t>
      </w:r>
      <w:r>
        <w:rPr>
          <w:rFonts w:hint="eastAsia" w:ascii="仿宋_GB2312" w:hAnsi="仿宋_GB2312" w:eastAsia="仿宋_GB2312" w:cs="仿宋_GB2312"/>
          <w:b w:val="0"/>
          <w:bCs w:val="0"/>
          <w:sz w:val="32"/>
          <w:szCs w:val="32"/>
        </w:rPr>
        <w:t>（项）。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119.00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年中又追加安排了9.70万元，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127.09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106.80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商品和服务支出减少12.22万元，资本性支出增加20.31万元。</w:t>
      </w:r>
    </w:p>
    <w:p>
      <w:pPr>
        <w:pStyle w:val="14"/>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住房保障支出（类）住房改革支出（款）住房公积金（项）。</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default" w:ascii="Times New Roman" w:hAnsi="Times New Roman" w:eastAsia="仿宋_GB2312"/>
          <w:sz w:val="32"/>
          <w:szCs w:val="32"/>
          <w:lang w:eastAsia="zh-CN"/>
        </w:rPr>
        <w:t>46.78</w:t>
      </w:r>
      <w:r>
        <w:rPr>
          <w:rFonts w:hint="eastAsia" w:ascii="Times New Roman" w:hAnsi="Times New Roman" w:eastAsia="仿宋_GB2312"/>
          <w:sz w:val="32"/>
          <w:szCs w:val="32"/>
        </w:rPr>
        <w:t>万元，支出决算为</w:t>
      </w:r>
      <w:r>
        <w:rPr>
          <w:rFonts w:hint="default" w:ascii="Times New Roman" w:hAnsi="Times New Roman" w:eastAsia="仿宋_GB2312"/>
          <w:sz w:val="32"/>
          <w:szCs w:val="32"/>
          <w:lang w:eastAsia="zh-CN"/>
        </w:rPr>
        <w:t>46.</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98.33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一名职工退休，一名职工调出，使得</w:t>
      </w:r>
      <w:r>
        <w:rPr>
          <w:rFonts w:hint="eastAsia" w:ascii="仿宋_GB2312" w:hAnsi="仿宋_GB2312" w:eastAsia="仿宋_GB2312" w:cs="仿宋_GB2312"/>
          <w:b w:val="0"/>
          <w:bCs w:val="0"/>
          <w:sz w:val="32"/>
          <w:szCs w:val="32"/>
        </w:rPr>
        <w:t>住房公积金支出</w:t>
      </w:r>
      <w:r>
        <w:rPr>
          <w:rFonts w:hint="eastAsia" w:ascii="仿宋_GB2312" w:hAnsi="仿宋_GB2312" w:eastAsia="仿宋_GB2312" w:cs="仿宋_GB2312"/>
          <w:b w:val="0"/>
          <w:bCs w:val="0"/>
          <w:sz w:val="32"/>
          <w:szCs w:val="32"/>
          <w:lang w:eastAsia="zh-CN"/>
        </w:rPr>
        <w:t>减少</w:t>
      </w:r>
      <w:r>
        <w:rPr>
          <w:rFonts w:hint="eastAsia" w:ascii="Times New Roman" w:hAnsi="Times New Roman" w:eastAsia="仿宋_GB2312"/>
          <w:sz w:val="32"/>
          <w:szCs w:val="32"/>
          <w:lang w:val="en-US" w:eastAsia="zh-CN"/>
        </w:rPr>
        <w:t>0.78</w:t>
      </w:r>
      <w:r>
        <w:rPr>
          <w:rFonts w:hint="eastAsia" w:ascii="仿宋_GB2312" w:hAnsi="仿宋_GB2312" w:eastAsia="仿宋_GB2312" w:cs="仿宋_GB2312"/>
          <w:b w:val="0"/>
          <w:bCs w:val="0"/>
          <w:sz w:val="32"/>
          <w:szCs w:val="32"/>
          <w:lang w:eastAsia="zh-CN"/>
        </w:rPr>
        <w:t>万元</w:t>
      </w:r>
      <w:r>
        <w:rPr>
          <w:rFonts w:hint="eastAsia" w:ascii="Times New Roman" w:hAnsi="Times New Roman" w:eastAsia="仿宋_GB2312"/>
          <w:sz w:val="32"/>
          <w:szCs w:val="32"/>
          <w:lang w:val="en-US"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550.49</w:t>
      </w:r>
      <w:r>
        <w:rPr>
          <w:rFonts w:ascii="Times New Roman" w:hAnsi="Times New Roman" w:eastAsia="仿宋_GB2312" w:cs="Times New Roman"/>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455.63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82.77</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基本工资、津贴补贴、奖金、伙食补助费、绩效工资、机关事业单位基本养老保险费、职工基本医疗保险缴费、其他社会保障缴费、住房公积金</w:t>
      </w:r>
      <w:r>
        <w:rPr>
          <w:rFonts w:hint="eastAsia" w:ascii="Times New Roman" w:hAnsi="Times New Roman" w:eastAsia="仿宋_GB2312"/>
          <w:sz w:val="32"/>
          <w:szCs w:val="32"/>
          <w:lang w:eastAsia="zh-CN"/>
        </w:rPr>
        <w:t>、奖励金。</w:t>
      </w:r>
    </w:p>
    <w:p>
      <w:pPr>
        <w:pStyle w:val="14"/>
        <w:ind w:firstLine="640" w:firstLineChars="200"/>
        <w:rPr>
          <w:rFonts w:hint="eastAsia" w:asciiTheme="minorEastAsia" w:hAnsiTheme="minorEastAsia" w:eastAsiaTheme="minorEastAsia"/>
          <w:b w:val="0"/>
          <w:bCs w:val="0"/>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94.86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17.23</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办公费、水费、电费、邮电费</w:t>
      </w:r>
      <w:r>
        <w:rPr>
          <w:rFonts w:hint="eastAsia" w:ascii="Times New Roman" w:hAnsi="Times New Roman" w:eastAsia="仿宋_GB2312"/>
          <w:sz w:val="32"/>
          <w:szCs w:val="32"/>
          <w:lang w:eastAsia="zh-CN"/>
        </w:rPr>
        <w:t>、差旅费、培训费、公务接待费、专用材料费、劳务费、工会经费、福利费、公务用车运行维护费、其他交通费用、其他商品和服务支出</w:t>
      </w:r>
      <w:r>
        <w:rPr>
          <w:rFonts w:hint="eastAsia" w:ascii="Times New Roman" w:hAnsi="Times New Roman" w:eastAsia="仿宋_GB2312"/>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16.63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预算数；与上年相比减少</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29.62</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10.60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35.09</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10.60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10.60</w:t>
      </w:r>
      <w:r>
        <w:rPr>
          <w:rFonts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公务用车运行维护费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35.09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小于预算数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bookmarkStart w:id="0" w:name="_GoBack"/>
      <w:bookmarkEnd w:id="0"/>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20.13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748</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en-US" w:eastAsia="zh-CN"/>
        </w:rPr>
        <w:t>来蓝指导的专家、市局来蓝调研、指导、考察等工作</w:t>
      </w:r>
      <w:r>
        <w:rPr>
          <w:rFonts w:ascii="Times New Roman" w:hAnsi="Times New Roman" w:eastAsia="仿宋_GB2312" w:cs="Times New Roman"/>
          <w:sz w:val="32"/>
          <w:szCs w:val="32"/>
        </w:rPr>
        <w:t>发生的接待支出。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4"/>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2024年度本单位无政府性基金收支。</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94.86</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0.75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：商品和服务支出少量增加开支。</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年本部门开支培训费</w:t>
      </w:r>
      <w:r>
        <w:rPr>
          <w:rFonts w:hint="eastAsia" w:ascii="Times New Roman" w:hAnsi="Times New Roman" w:eastAsia="仿宋_GB2312" w:cs="Times New Roman"/>
          <w:sz w:val="32"/>
          <w:szCs w:val="32"/>
          <w:lang w:val="en-US" w:eastAsia="zh-CN"/>
        </w:rPr>
        <w:t>1.87</w:t>
      </w:r>
      <w:r>
        <w:rPr>
          <w:rFonts w:hint="eastAsia"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：①</w:t>
      </w:r>
      <w:r>
        <w:rPr>
          <w:rFonts w:hint="eastAsia"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线上年度继续教育</w:t>
      </w:r>
      <w:r>
        <w:rPr>
          <w:rFonts w:hint="eastAsia"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人，内容为专业技术人员继续教育有关工作</w:t>
      </w:r>
      <w:r>
        <w:rPr>
          <w:rFonts w:hint="eastAsia" w:ascii="Times New Roman" w:hAnsi="Times New Roman" w:eastAsia="仿宋_GB2312" w:cs="Times New Roman"/>
          <w:sz w:val="32"/>
          <w:szCs w:val="32"/>
          <w:lang w:eastAsia="zh-CN"/>
        </w:rPr>
        <w:t>，线上学习公需科目和专业科目，取到年度继续教育合格证；②单位职工因公出市参加各类培训班，</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单位职工因公出市参加全省水生态环境管理工作、全省县级生态环境监测站质量管理技术、湖南省环境应急管理、政府采购工作、提升政协委员履职能力、财政综合业务、乡村振兴和绿色发展专题等相关培训班期间发生的住宿费、伙食费、交通费；③单位展开危险废物规范化管理培训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年本部门</w:t>
      </w:r>
      <w:r>
        <w:rPr>
          <w:rFonts w:hint="eastAsia" w:ascii="Times New Roman" w:hAnsi="Times New Roman" w:eastAsia="仿宋_GB2312" w:cs="Times New Roman"/>
          <w:sz w:val="32"/>
          <w:szCs w:val="32"/>
          <w:lang w:eastAsia="zh-CN"/>
        </w:rPr>
        <w:t>未</w:t>
      </w:r>
      <w:r>
        <w:rPr>
          <w:rFonts w:hint="eastAsia"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104.06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26.67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3.54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73.85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100.09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96.18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100.09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50.74</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w:t>
      </w:r>
      <w:r>
        <w:rPr>
          <w:rFonts w:hint="eastAsia" w:ascii="Times New Roman" w:hAnsi="Times New Roman" w:eastAsia="仿宋_GB2312" w:cs="Times New Roman"/>
          <w:color w:val="auto"/>
          <w:sz w:val="32"/>
          <w:szCs w:val="32"/>
          <w:lang w:eastAsia="zh-CN"/>
        </w:rPr>
        <w:t>（永州市生态环境局蓝山分局）</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w:t>
      </w:r>
      <w:r>
        <w:rPr>
          <w:rFonts w:hint="eastAsia" w:ascii="Times New Roman" w:hAnsi="Times New Roman" w:eastAsia="仿宋_GB2312" w:cs="Times New Roman"/>
          <w:kern w:val="0"/>
          <w:sz w:val="32"/>
          <w:szCs w:val="32"/>
          <w:lang w:eastAsia="zh-CN"/>
        </w:rPr>
        <w:t>（永州市生态环境局蓝山分局）</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128.00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128.00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19.43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永州市生态环境局蓝山分局排污权有偿使用收入安排的支出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永州市生态环境局蓝山分局执法办案经费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永州市生态环境局蓝山分局基本监测经费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128.00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w:t>
      </w:r>
      <w:r>
        <w:rPr>
          <w:rFonts w:hint="eastAsia" w:ascii="Times New Roman" w:hAnsi="Times New Roman" w:eastAsia="仿宋_GB2312" w:cs="Times New Roman"/>
          <w:kern w:val="0"/>
          <w:sz w:val="32"/>
          <w:szCs w:val="32"/>
          <w:lang w:eastAsia="zh-CN"/>
        </w:rPr>
        <w:t>（永州市生态环境局蓝山分局）</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128.00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127.09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99.29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”。绩效目标完成情况：一是贯彻执行国家和省环境保护方针、政策和法律、法规；拟订全县环境保护规划、规范性文件并监督实施</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是打击环境违法，从源头上预防、控制环境污染和环境破坏的责任 ；负责全县环境污染防治的监督管理；指导、协调、监督全县生态保护工作；负责全县核事故应急管理工作以及核安全和辐射安全的监督管理。</w:t>
      </w:r>
      <w:r>
        <w:rPr>
          <w:rFonts w:hint="eastAsia" w:ascii="Times New Roman" w:hAnsi="Times New Roman" w:eastAsia="仿宋_GB2312" w:cs="Times New Roman"/>
          <w:sz w:val="32"/>
          <w:szCs w:val="32"/>
          <w:lang w:eastAsia="zh-CN"/>
        </w:rPr>
        <w:t>三是</w:t>
      </w:r>
      <w:r>
        <w:rPr>
          <w:rFonts w:ascii="Times New Roman" w:hAnsi="Times New Roman" w:eastAsia="仿宋_GB2312" w:cs="Times New Roman"/>
          <w:sz w:val="32"/>
          <w:szCs w:val="32"/>
        </w:rPr>
        <w:t>负责全县水、气、土、声、农村等环境质量监测、信息发布、上报等工作。</w:t>
      </w:r>
      <w:r>
        <w:rPr>
          <w:rFonts w:hint="eastAsia" w:ascii="Times New Roman" w:hAnsi="Times New Roman" w:eastAsia="仿宋_GB2312" w:cs="Times New Roman"/>
          <w:sz w:val="32"/>
          <w:szCs w:val="32"/>
          <w:lang w:eastAsia="zh-CN"/>
        </w:rPr>
        <w:t>四是</w:t>
      </w:r>
      <w:r>
        <w:rPr>
          <w:rFonts w:ascii="Times New Roman" w:hAnsi="Times New Roman" w:eastAsia="仿宋_GB2312" w:cs="Times New Roman"/>
          <w:sz w:val="32"/>
          <w:szCs w:val="32"/>
        </w:rPr>
        <w:t>组织、指导和协调全县环境保护宣传教育工作，开展生态文明建设和环境友好型社会建设的有关宣传教育工作，推动社会公众和社会组织参与环境保护。发现的主要问题及原因：一是</w:t>
      </w:r>
      <w:r>
        <w:rPr>
          <w:rFonts w:hint="eastAsia" w:ascii="Times New Roman" w:hAnsi="Times New Roman" w:eastAsia="仿宋_GB2312"/>
          <w:sz w:val="32"/>
          <w:szCs w:val="32"/>
        </w:rPr>
        <w:t>各乡镇、相关职能部门配合、参与度不够，缺乏工作支持和经费保障。各乡镇、各部门宣传力度和工作力度还不够，宣传不到位，工作难深入，各项综合协调机制尚未健全，人力、物力、财力需要进一步给予保障。</w:t>
      </w:r>
      <w:r>
        <w:rPr>
          <w:rFonts w:ascii="Times New Roman" w:hAnsi="Times New Roman" w:eastAsia="仿宋_GB2312" w:cs="Times New Roman"/>
          <w:sz w:val="32"/>
          <w:szCs w:val="32"/>
        </w:rPr>
        <w:t>；二是</w:t>
      </w:r>
      <w:r>
        <w:rPr>
          <w:rFonts w:hint="eastAsia" w:ascii="Times New Roman" w:hAnsi="Times New Roman" w:eastAsia="仿宋_GB2312"/>
          <w:sz w:val="32"/>
          <w:szCs w:val="32"/>
        </w:rPr>
        <w:t>人员、车辆少与工作任务繁重矛盾日益突出</w:t>
      </w:r>
      <w:r>
        <w:rPr>
          <w:rFonts w:ascii="Times New Roman" w:hAnsi="Times New Roman" w:eastAsia="仿宋_GB2312" w:cs="Times New Roman"/>
          <w:sz w:val="32"/>
          <w:szCs w:val="32"/>
        </w:rPr>
        <w:t>。下一步改进措施：一是</w:t>
      </w:r>
      <w:r>
        <w:rPr>
          <w:rFonts w:hint="eastAsia" w:ascii="Times New Roman" w:hAnsi="Times New Roman" w:eastAsia="仿宋_GB2312"/>
          <w:sz w:val="32"/>
          <w:szCs w:val="32"/>
        </w:rPr>
        <w:t>加强财务管理，严格财务审核。在费用报账支付时，按照预算规定的费用项目和用途进行资金使用审核、列报支付、财务核算，杜绝超支现象的发生</w:t>
      </w:r>
      <w:r>
        <w:rPr>
          <w:rFonts w:ascii="Times New Roman" w:hAnsi="Times New Roman" w:eastAsia="仿宋_GB2312" w:cs="Times New Roman"/>
          <w:sz w:val="32"/>
          <w:szCs w:val="32"/>
        </w:rPr>
        <w:t>；二是</w:t>
      </w:r>
      <w:r>
        <w:rPr>
          <w:rFonts w:hint="eastAsia" w:ascii="Times New Roman" w:hAnsi="Times New Roman" w:eastAsia="仿宋_GB2312"/>
          <w:sz w:val="32"/>
          <w:szCs w:val="32"/>
        </w:rPr>
        <w:t>持续抓好“三公”经费控制管理。严格控制“三公”经费的规模和比例，把关“三公”经费支出的审核、审批，杜绝挪用和挤占其他预算资金行为；进一步细化“三公”经费的管理，合理压缩“三公”经费支出</w:t>
      </w:r>
      <w:r>
        <w:rPr>
          <w:rFonts w:hint="eastAsia" w:ascii="Times New Roman" w:hAnsi="Times New Roman" w:eastAsia="仿宋_GB2312"/>
          <w:sz w:val="32"/>
          <w:szCs w:val="32"/>
          <w:lang w:eastAsia="zh-CN"/>
        </w:rPr>
        <w:t>；三是</w:t>
      </w:r>
      <w:r>
        <w:rPr>
          <w:rFonts w:hint="eastAsia" w:ascii="Times New Roman" w:hAnsi="Times New Roman" w:eastAsia="仿宋_GB2312"/>
          <w:sz w:val="32"/>
          <w:szCs w:val="32"/>
        </w:rPr>
        <w:t>加强项目开展进度的跟踪，开展项目绩效评价，确保项目绩效目标的完成</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eastAsia="zh-CN"/>
        </w:rPr>
        <w:t>永州市生态环境局蓝山分局排污权有偿使用收入安排的支出</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永州市生态环境局蓝山分局执法办案经费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永州市生态环境局蓝山分局基本监测经费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78.00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76.17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97.65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99.80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4"/>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sz w:val="32"/>
          <w:szCs w:val="32"/>
        </w:rPr>
        <w:t>本部门2025年度预算安排，支出结构调整，资金管理，制度建设等方面</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lang w:val="en-US" w:eastAsia="zh-CN"/>
        </w:rPr>
        <w:t>2024年度无太大变动。</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黑体"/>
          <w:b/>
          <w:bCs/>
          <w:color w:val="FF0000"/>
          <w:kern w:val="0"/>
          <w:sz w:val="32"/>
          <w:szCs w:val="32"/>
          <w:lang w:val="en-US" w:eastAsia="zh-CN" w:bidi="ar-SA"/>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firstLine="640" w:firstLineChars="200"/>
        <w:rPr>
          <w:rFonts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（永州市生态环境局蓝山分局）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overflowPunct w:val="0"/>
        <w:spacing w:line="600" w:lineRule="exact"/>
        <w:ind w:firstLine="640" w:firstLineChars="200"/>
        <w:rPr>
          <w:rFonts w:hint="eastAsia"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部门（单位）基本情况</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（一）部门（单位）职能职责、机构编制、人员构成等。</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局属财政全额预算拔款的正科级行政单位，内设办公室、污染防治监督股、环境影响评价与排放管理股，下辖永州市蓝山县生态环境保护综合行政执法大队、永州市蓝山生态环境监测站、蓝山县生态环境事务中心、蓝山县固体废物与辐射管理站。</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部门主要工作职责有：</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1、贯彻执行国家和省环境保护方针、政策和法律、法规；拟订全县环境保护规划、规范性文件并监督实施。</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2、负责环境问题的统筹协调和监督管理。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3、承担落实全县减排目标的责任。</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4、负责提出全县环境保护领域固定资产投资规模和方向、县级财政性资金安排的建议；参与指导和推动全县循环经济与环保产业发展。</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5、负责从源头上预防、控制环境污染和环境破坏的责任。</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6、负责全县环境污染防治的监督管理。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7、指导、协调、监督全县生态保护工作。</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8、负责全县核事故应急管理工作以及核安全和辐射安全的监督管理。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9、负责全县环境监测和信息发布。</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开展环境保护科技工作，组织开展环境保护科学研究和技术工程示范，推动环境技术管理体系建设，组织县级环境保护科技成果的交流和推广；提出全县环境保护对外合作交流中有关问题的建议，开展对外环境保护信息交流工作，参与处理涉外环境保护事务。</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11、组织、指导和协调全县环境保护宣传教育工作，开展生态文明建设和环境友好型社会建设的有关宣传教育工作，推动社会公众和社会组织参与环境保护。</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12、承办市生态环境局和市县人民政府交办的其他事项。</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部门机构编制、人员构成有：</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我局核定人员编制55人，实有在职在编人数4</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人，现有车辆编制0台，实际有执法执勤用车</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台。</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（二）部门（单位）整体支出规模，包括但不限于部门整体支出情况、部门预算收支决算情况及“三公经费”支出使用和管理情况。</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我单位2024年预算收入支出数为</w:t>
      </w:r>
      <w:r>
        <w:rPr>
          <w:rFonts w:ascii="Times New Roman" w:hAnsi="Times New Roman" w:eastAsia="仿宋_GB2312" w:cs="Times New Roman"/>
          <w:sz w:val="32"/>
          <w:szCs w:val="32"/>
        </w:rPr>
        <w:t>658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86</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元，决算收入支出数为</w:t>
      </w:r>
      <w:r>
        <w:rPr>
          <w:rFonts w:ascii="Times New Roman" w:hAnsi="Times New Roman" w:eastAsia="仿宋_GB2312" w:cs="Times New Roman"/>
          <w:sz w:val="32"/>
          <w:szCs w:val="32"/>
        </w:rPr>
        <w:t>677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元，其中基本支出预算收入</w:t>
      </w:r>
      <w:r>
        <w:rPr>
          <w:rFonts w:ascii="Times New Roman" w:hAnsi="Times New Roman" w:eastAsia="仿宋_GB2312" w:cs="Times New Roman"/>
          <w:sz w:val="32"/>
          <w:szCs w:val="32"/>
        </w:rPr>
        <w:t>539</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86</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，基本支出决算支出</w:t>
      </w:r>
      <w:r>
        <w:rPr>
          <w:rFonts w:ascii="Times New Roman" w:hAnsi="Times New Roman" w:eastAsia="仿宋_GB2312" w:cs="Times New Roman"/>
          <w:sz w:val="32"/>
          <w:szCs w:val="32"/>
        </w:rPr>
        <w:t>550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元，项目支出预算收入</w:t>
      </w:r>
      <w:r>
        <w:rPr>
          <w:rFonts w:ascii="Times New Roman" w:hAnsi="Times New Roman" w:eastAsia="仿宋_GB2312" w:cs="Times New Roman"/>
          <w:sz w:val="32"/>
          <w:szCs w:val="32"/>
        </w:rPr>
        <w:t>119</w:t>
      </w:r>
      <w:r>
        <w:rPr>
          <w:rFonts w:hint="eastAsia" w:ascii="Times New Roman" w:hAnsi="Times New Roman" w:eastAsia="仿宋_GB2312" w:cs="Times New Roman"/>
          <w:sz w:val="32"/>
          <w:szCs w:val="32"/>
          <w:lang w:val="en-US" w:eastAsia="zh-CN"/>
        </w:rPr>
        <w:t>.00万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，项目支出决算支出</w:t>
      </w:r>
      <w:r>
        <w:rPr>
          <w:rFonts w:ascii="Times New Roman" w:hAnsi="Times New Roman" w:eastAsia="仿宋_GB2312" w:cs="Times New Roman"/>
          <w:sz w:val="32"/>
          <w:szCs w:val="32"/>
        </w:rPr>
        <w:t>127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9万</w:t>
      </w:r>
      <w:r>
        <w:rPr>
          <w:rFonts w:hint="eastAsia" w:ascii="Times New Roman" w:hAnsi="Times New Roman" w:eastAsia="仿宋_GB2312" w:cs="Times New Roman"/>
          <w:sz w:val="32"/>
          <w:szCs w:val="32"/>
        </w:rPr>
        <w:t>元。</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“三公经费”预算支出控制数为</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元，实际支出</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3万</w:t>
      </w:r>
      <w:r>
        <w:rPr>
          <w:rFonts w:hint="eastAsia" w:ascii="Times New Roman" w:hAnsi="Times New Roman" w:eastAsia="仿宋_GB2312" w:cs="Times New Roman"/>
          <w:sz w:val="32"/>
          <w:szCs w:val="32"/>
        </w:rPr>
        <w:t>元。其中公务接待费预算支出</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03</w:t>
      </w:r>
      <w:r>
        <w:rPr>
          <w:rFonts w:hint="eastAsia" w:ascii="Times New Roman" w:hAnsi="Times New Roman" w:eastAsia="仿宋_GB2312" w:cs="Times New Roman"/>
          <w:sz w:val="32"/>
          <w:szCs w:val="32"/>
          <w:lang w:val="en-US" w:eastAsia="zh-CN"/>
        </w:rPr>
        <w:t>万</w:t>
      </w:r>
      <w:r>
        <w:rPr>
          <w:rFonts w:hint="eastAsia" w:ascii="Times New Roman" w:hAnsi="Times New Roman" w:eastAsia="仿宋_GB2312" w:cs="Times New Roman"/>
          <w:sz w:val="32"/>
          <w:szCs w:val="32"/>
        </w:rPr>
        <w:t>元，2024年实际支出</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03</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；公务用车运行维护费预算支出</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元，2024年实际支出</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元，与预算持平。</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二、一般公共预算支出情况</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（一）基本支出情况</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我单位2024年基本支出</w:t>
      </w:r>
      <w:r>
        <w:rPr>
          <w:rFonts w:ascii="Times New Roman" w:hAnsi="Times New Roman" w:eastAsia="仿宋_GB2312" w:cs="Times New Roman"/>
          <w:sz w:val="32"/>
          <w:szCs w:val="32"/>
        </w:rPr>
        <w:t>550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9万</w:t>
      </w:r>
      <w:r>
        <w:rPr>
          <w:rFonts w:hint="eastAsia" w:ascii="Times New Roman" w:hAnsi="Times New Roman" w:eastAsia="仿宋_GB2312" w:cs="Times New Roman"/>
          <w:sz w:val="32"/>
          <w:szCs w:val="32"/>
        </w:rPr>
        <w:t>元，主要保障单位机构运行、平常工作任务而发生各项开支，包括基本工资、津补贴等人员经费以及办公费、印刷费、水电费、“三公经费”等。</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（二）项目支出情况</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2024年我局共有三个项目资金，其中基本监测经费实际支出</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3万</w:t>
      </w:r>
      <w:r>
        <w:rPr>
          <w:rFonts w:hint="eastAsia" w:ascii="Times New Roman" w:hAnsi="Times New Roman" w:eastAsia="仿宋_GB2312" w:cs="Times New Roman"/>
          <w:sz w:val="32"/>
          <w:szCs w:val="32"/>
        </w:rPr>
        <w:t>元、执法办案经费实际支出</w:t>
      </w:r>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7万</w:t>
      </w:r>
      <w:r>
        <w:rPr>
          <w:rFonts w:hint="eastAsia" w:ascii="Times New Roman" w:hAnsi="Times New Roman" w:eastAsia="仿宋_GB2312" w:cs="Times New Roman"/>
          <w:sz w:val="32"/>
          <w:szCs w:val="32"/>
        </w:rPr>
        <w:t>元，排污权有偿使用实际支出</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99</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rPr>
        <w:t>元。</w:t>
      </w:r>
    </w:p>
    <w:p>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政府性基金预算支出情况</w:t>
      </w:r>
      <w:r>
        <w:rPr>
          <w:rFonts w:hint="eastAsia" w:ascii="Times New Roman" w:hAnsi="Times New Roman" w:eastAsia="仿宋_GB2312" w:cs="Times New Roman"/>
          <w:sz w:val="32"/>
          <w:szCs w:val="32"/>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我单位无政府性基金预算支出情况。</w:t>
      </w:r>
    </w:p>
    <w:p>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国有资本经营预算支出情况</w:t>
      </w:r>
      <w:r>
        <w:rPr>
          <w:rFonts w:hint="eastAsia" w:ascii="Times New Roman" w:hAnsi="Times New Roman" w:eastAsia="仿宋_GB2312" w:cs="Times New Roman"/>
          <w:sz w:val="32"/>
          <w:szCs w:val="32"/>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我单位无国有资本经营预算支出情况。</w:t>
      </w:r>
    </w:p>
    <w:p>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社会保险基金预算支出情况</w:t>
      </w:r>
      <w:r>
        <w:rPr>
          <w:rFonts w:hint="eastAsia" w:ascii="Times New Roman" w:hAnsi="Times New Roman" w:eastAsia="仿宋_GB2312" w:cs="Times New Roman"/>
          <w:sz w:val="32"/>
          <w:szCs w:val="32"/>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我单位无社会保险基金预算支出情况。</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六、部门整体支出绩效情况</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1、绩效评价结果</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上级生态环境部门的精心指导下，我单位以改善生态环境质量为核心，以解决突出环境问题为重点，紧紧围绕县委、县政府打好“污染防治攻坚战”决策部署，深入开展专项整治行动，严厉查处环境违法行为，确保全县生态环境安全。本单位根据部门支出绩效评价指标体系，积极开展对本单位预算支出绩效自评工作。2024年部门整体支出绩效自评综合得分99.</w:t>
      </w:r>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分。</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2绩效目标完成情况</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①产出分析</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地表水90%达到国家Ⅲ类以上要求，重点污染源监测频率2次，履职工作按时完成。</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②经济性</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本年预算安排控制较好，完成罚没收入134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9万</w:t>
      </w:r>
      <w:r>
        <w:rPr>
          <w:rFonts w:hint="eastAsia" w:ascii="Times New Roman" w:hAnsi="Times New Roman" w:eastAsia="仿宋_GB2312" w:cs="Times New Roman"/>
          <w:sz w:val="32"/>
          <w:szCs w:val="32"/>
        </w:rPr>
        <w:t>元，超过预算目标。编制内在职人员控制率小于100%，控制在预算编制以内；预算执行方面，一般公共预算财政拨款全年执行数小于全年预算数。</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③效率性和有效性。</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为强化部门整体支出，提高资金使用效益，提升财务管理，建立节约型机关，2024年我局在强化业务管理、财务管理和厉行节约方面开展了大量工作，行政效能显著。</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局在原有相对健全的财务管理制度基础上，适时地、针对性地进行了相关制度的增补，如建立了专项资金使用管理规定等，使管理制度更为完善。严格执行了国库集中支付、公务卡结算制度、政府采购等有关规定，政府采购目录内的货物与服务全部按要求实施了政府采购，确保了支出管理流程、审批手续的完整。</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监测重点企业单位，可以掌握重点企业的污染排放现状，常规水环境监测点位进行定期监测、县城环境空气自动监测站的正常运气，可以了解我县的环境现状，为政府出台相关政策做好数据支撑。农村环境整治工作的推进有效的改善了我县部分农村的环境状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④社会和公众满意度。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2024年，通过我局专项工作的开展，我们狠抓重点工作，较好的完成了各项目标任务，该指标预期值≥90%，已完成预期值目标。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七、存在的问题及原因分析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各乡镇、相关职能部门配合、参与度不够，缺乏工作支持和经费保障。各乡镇、各部门宣传力度和工作力度还不够，宣传不到位，工作难深入，各项综合协调机制尚未健全，人力、物力、财力需要进一步给予保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2、人员、车辆少与工作任务繁重矛盾日益突出。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八、下一步改进措施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 加强财务管理，严格财务审核。在费用报账支付时，按照预算规定的费用项目和用途进行资金使用审核、列报支付、财务核算，杜绝超支现象的发生。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3．加强项目开展进度的跟踪，开展项目绩效评价，确保项目绩效目标的完成。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九、部门整体支出绩效自评结果拟应用和公开情况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按时公开。</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pPr>
      <w:r>
        <w:rPr>
          <w:rFonts w:hint="eastAsia" w:ascii="Times New Roman" w:hAnsi="Times New Roman" w:eastAsia="仿宋_GB2312" w:cs="Times New Roman"/>
          <w:sz w:val="32"/>
          <w:szCs w:val="32"/>
        </w:rPr>
        <w:t>无。</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11085ABF"/>
    <w:multiLevelType w:val="singleLevel"/>
    <w:tmpl w:val="11085AB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45CC9"/>
    <w:rsid w:val="00E55B68"/>
    <w:rsid w:val="00E561AE"/>
    <w:rsid w:val="00E67BE6"/>
    <w:rsid w:val="00E8683C"/>
    <w:rsid w:val="00EA2B72"/>
    <w:rsid w:val="00F74360"/>
    <w:rsid w:val="00FB462F"/>
    <w:rsid w:val="00FE16FA"/>
    <w:rsid w:val="00FE328A"/>
    <w:rsid w:val="00FE6269"/>
    <w:rsid w:val="00FF5CD6"/>
    <w:rsid w:val="013971F9"/>
    <w:rsid w:val="01A24749"/>
    <w:rsid w:val="03AA2885"/>
    <w:rsid w:val="063511B8"/>
    <w:rsid w:val="0F360C62"/>
    <w:rsid w:val="1008033C"/>
    <w:rsid w:val="10725584"/>
    <w:rsid w:val="11C6588C"/>
    <w:rsid w:val="13AE6984"/>
    <w:rsid w:val="13D2133F"/>
    <w:rsid w:val="16403446"/>
    <w:rsid w:val="175D4216"/>
    <w:rsid w:val="183E0098"/>
    <w:rsid w:val="1AD047A5"/>
    <w:rsid w:val="1AFD686A"/>
    <w:rsid w:val="1D97DEFF"/>
    <w:rsid w:val="1DFF72E5"/>
    <w:rsid w:val="1E5076FD"/>
    <w:rsid w:val="1EA2500E"/>
    <w:rsid w:val="1EFC6F07"/>
    <w:rsid w:val="23991DE9"/>
    <w:rsid w:val="27CD29F0"/>
    <w:rsid w:val="28667BBE"/>
    <w:rsid w:val="288D4180"/>
    <w:rsid w:val="29DA18FC"/>
    <w:rsid w:val="2A59490A"/>
    <w:rsid w:val="2BC146B8"/>
    <w:rsid w:val="2EFC571C"/>
    <w:rsid w:val="2FDF85B8"/>
    <w:rsid w:val="2FFFEE04"/>
    <w:rsid w:val="34DF85B0"/>
    <w:rsid w:val="3606594D"/>
    <w:rsid w:val="37D66885"/>
    <w:rsid w:val="39DC5768"/>
    <w:rsid w:val="39F83DD2"/>
    <w:rsid w:val="3A0A2CC0"/>
    <w:rsid w:val="3B643A0A"/>
    <w:rsid w:val="3B8F36BC"/>
    <w:rsid w:val="3BC073B2"/>
    <w:rsid w:val="3C9B3D1C"/>
    <w:rsid w:val="3F014F72"/>
    <w:rsid w:val="420341AA"/>
    <w:rsid w:val="43D709DA"/>
    <w:rsid w:val="46317564"/>
    <w:rsid w:val="470D5220"/>
    <w:rsid w:val="484C41F5"/>
    <w:rsid w:val="491C04FC"/>
    <w:rsid w:val="491FF225"/>
    <w:rsid w:val="49450D35"/>
    <w:rsid w:val="497C6DA0"/>
    <w:rsid w:val="4A733F1F"/>
    <w:rsid w:val="4B527DFD"/>
    <w:rsid w:val="4B832A01"/>
    <w:rsid w:val="4C006F0C"/>
    <w:rsid w:val="4FC53C7E"/>
    <w:rsid w:val="4FD110E2"/>
    <w:rsid w:val="4FFD214C"/>
    <w:rsid w:val="5381538A"/>
    <w:rsid w:val="54934FFE"/>
    <w:rsid w:val="550378F8"/>
    <w:rsid w:val="55B27341"/>
    <w:rsid w:val="56813EA7"/>
    <w:rsid w:val="5777D4F5"/>
    <w:rsid w:val="59DD8326"/>
    <w:rsid w:val="59E63E2B"/>
    <w:rsid w:val="5B21172E"/>
    <w:rsid w:val="5C3A44A3"/>
    <w:rsid w:val="5DEF592A"/>
    <w:rsid w:val="5FC6BB1E"/>
    <w:rsid w:val="5FF720F1"/>
    <w:rsid w:val="634571B8"/>
    <w:rsid w:val="64D36604"/>
    <w:rsid w:val="6507243F"/>
    <w:rsid w:val="67DF17D9"/>
    <w:rsid w:val="67FF5C0B"/>
    <w:rsid w:val="6DFB4198"/>
    <w:rsid w:val="6E8810D7"/>
    <w:rsid w:val="6EFC0924"/>
    <w:rsid w:val="6FB74722"/>
    <w:rsid w:val="6FEF8B7E"/>
    <w:rsid w:val="71A6591B"/>
    <w:rsid w:val="720A75CF"/>
    <w:rsid w:val="737D59BA"/>
    <w:rsid w:val="75666B4B"/>
    <w:rsid w:val="77C37683"/>
    <w:rsid w:val="780A335F"/>
    <w:rsid w:val="79D19834"/>
    <w:rsid w:val="79FF515B"/>
    <w:rsid w:val="7D016F34"/>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15</TotalTime>
  <ScaleCrop>false</ScaleCrop>
  <LinksUpToDate>false</LinksUpToDate>
  <CharactersWithSpaces>9786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2025-10-09T08:16:09Z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BB7B6AA21D207914D6FDA268992A22D6</vt:lpwstr>
  </property>
</Properties>
</file>